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106BF9" w:rsidRDefault="00574AA3" w:rsidP="00574AA3">
      <w:pPr>
        <w:jc w:val="center"/>
        <w:rPr>
          <w:rFonts w:ascii="Avenir Next" w:hAnsi="Avenir Next"/>
          <w:i/>
          <w:color w:val="000000" w:themeColor="text1"/>
          <w:sz w:val="28"/>
          <w:lang w:val="el-GR"/>
        </w:rPr>
      </w:pPr>
      <w:r w:rsidRPr="00106BF9">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106BF9" w:rsidRDefault="004941B0">
      <w:pPr>
        <w:rPr>
          <w:rFonts w:ascii="Avenir Next" w:hAnsi="Avenir Next"/>
          <w:i/>
          <w:color w:val="000000" w:themeColor="text1"/>
          <w:sz w:val="28"/>
          <w:lang w:val="el-GR"/>
        </w:rPr>
      </w:pPr>
    </w:p>
    <w:p w14:paraId="73CB448F" w14:textId="77777777" w:rsidR="00106BF9" w:rsidRPr="00106BF9" w:rsidRDefault="00106BF9" w:rsidP="00106BF9">
      <w:pPr>
        <w:pStyle w:val="Titre1"/>
        <w:rPr>
          <w:rFonts w:ascii="Avenir Next" w:hAnsi="Avenir Next"/>
          <w:i/>
          <w:iCs/>
          <w:color w:val="000000" w:themeColor="text1"/>
          <w:sz w:val="40"/>
          <w:szCs w:val="40"/>
        </w:rPr>
      </w:pPr>
      <w:r w:rsidRPr="00106BF9">
        <w:rPr>
          <w:rFonts w:ascii="Avenir Next" w:hAnsi="Avenir Next"/>
          <w:i/>
          <w:iCs/>
          <w:color w:val="000000" w:themeColor="text1"/>
          <w:sz w:val="40"/>
          <w:szCs w:val="40"/>
        </w:rPr>
        <w:t>ΜΗ ΧΕΙΡΟΥΡΓΙΚΗ ΡΙΝΟΠΛΑΣΤΙΚΗ</w:t>
      </w:r>
    </w:p>
    <w:p w14:paraId="713736D7" w14:textId="77777777" w:rsidR="00C71B78" w:rsidRPr="00106BF9"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14CC4B68" w:rsidR="004941B0" w:rsidRPr="00106BF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06BF9">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106BF9">
        <w:rPr>
          <w:rFonts w:ascii="Avenir Next" w:hAnsi="Avenir Next" w:cs="Menlo"/>
          <w:i/>
          <w:iCs/>
          <w:color w:val="000000" w:themeColor="text1"/>
          <w:lang w:val="el-GR"/>
        </w:rPr>
        <w:t xml:space="preserve"> σε</w:t>
      </w:r>
      <w:r w:rsidR="00106BF9">
        <w:rPr>
          <w:rFonts w:ascii="Avenir Next" w:hAnsi="Avenir Next" w:cs="Menlo"/>
          <w:i/>
          <w:iCs/>
          <w:color w:val="000000" w:themeColor="text1"/>
          <w:lang w:val="el-GR"/>
        </w:rPr>
        <w:t xml:space="preserve"> μη χειρουργική ρινοπλαστική</w:t>
      </w:r>
      <w:r w:rsidR="00784E1B" w:rsidRPr="00106BF9">
        <w:rPr>
          <w:rFonts w:ascii="Avenir Next" w:hAnsi="Avenir Next" w:cs="Menlo"/>
          <w:i/>
          <w:iCs/>
          <w:color w:val="000000" w:themeColor="text1"/>
          <w:lang w:val="el-GR"/>
        </w:rPr>
        <w:t xml:space="preserve">. </w:t>
      </w:r>
      <w:r w:rsidRPr="00106BF9">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106BF9" w:rsidRDefault="004C0952" w:rsidP="004941B0">
      <w:pPr>
        <w:jc w:val="both"/>
        <w:rPr>
          <w:rFonts w:ascii="Avenir Next" w:hAnsi="Avenir Next" w:cs="Menlo"/>
          <w:i/>
          <w:iCs/>
          <w:color w:val="000000" w:themeColor="text1"/>
          <w:lang w:val="el-GR"/>
        </w:rPr>
      </w:pPr>
    </w:p>
    <w:p w14:paraId="35A88306"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45029B63">
          <v:rect id="_x0000_i1033" alt="" style="width:431.85pt;height:.05pt;mso-width-percent:0;mso-height-percent:0;mso-width-percent:0;mso-height-percent:0" o:hrpct="952" o:hralign="center" o:hrstd="t" o:hr="t" fillcolor="#a0a0a0" stroked="f"/>
        </w:pict>
      </w:r>
    </w:p>
    <w:p w14:paraId="1CB7402B"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t>ΟΡΙΣΜΟΣ</w:t>
      </w:r>
    </w:p>
    <w:p w14:paraId="3D2573EF"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μη χειρουργική ρινοπλαστική, γνωστή και ως ρινοπλαστική με ενέσιμα υλικά, αποτελεί αισθητική ιατρική τεχνική που επιτρέπει την τροποποίηση της μορφής της ρινός χωρίς χειρουργική επέμβαση. Η διαδικασία βασίζεται στη χρήση ενέσιμων υλικών πλήρωσης, τα οποία επιτρέπουν προσωρινή αναδιαμόρφωση της ρινικής μορφολογίας, βελτίωση της συμμετρίας και διόρθωση επιφανειακών ατελειών.</w:t>
      </w:r>
    </w:p>
    <w:p w14:paraId="60DD6825"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 xml:space="preserve">Σε αντίθεση με τη χειρουργική ρινοπλαστική, η οποία προϋποθέτει τομές, ράμματα και σημαντικό χρόνο ανάρρωσης, η μη χειρουργική μέθοδος είναι λιγότερο επεμβατική και χαρακτηρίζεται από ελάχιστο χρόνο αποθεραπείας. Αν και οι δυνατότητές της είναι περιορισμένες σε σύγκριση με τη χειρουργική προσέγγιση, αποτελεί ελκυστική επιλογή για ασθενείς που επιθυμούν </w:t>
      </w:r>
      <w:r w:rsidRPr="00106BF9">
        <w:rPr>
          <w:rFonts w:ascii="Avenir Next" w:hAnsi="Avenir Next"/>
          <w:color w:val="000000" w:themeColor="text1"/>
          <w:lang w:val="el-GR"/>
        </w:rPr>
        <w:lastRenderedPageBreak/>
        <w:t>βελτίωση της εμφάνισης χωρίς τους κινδύνους, τις δεσμεύσεις και το κόστος της κλασικής επέμβασης.</w:t>
      </w:r>
    </w:p>
    <w:p w14:paraId="28F148DB"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τεχνική βασίζεται κυρίως στη χρήση υαλουρονικού οξέος. Το υαλουρονικό οξύ είναι πολυσακχαρίτης που απαντάται φυσιολογικά στον ανθρώπινο οργανισμό και, όταν εγχέεται στους υποδόριους ιστούς της ρινός, προσφέρει φυσικό και αρμονικό αποτέλεσμα. Λιγότερο συχνά μπορούν να χρησιμοποιηθούν υδροξυαπατίτης ασβεστίου ή πολυγαλακτικό οξύ, σε ειδικές ενδείξεις.</w:t>
      </w:r>
    </w:p>
    <w:p w14:paraId="4B84C53C"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Το υαλουρονικό οξύ επιτρέπει πλήρωση κοιλοτήτων και διόρθωση ελλειμμάτων ή εμβυθίσεων, προσφέροντας προσωρινή μορφολογική αποκατάσταση.</w:t>
      </w:r>
    </w:p>
    <w:p w14:paraId="3F8F7A2B"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623C8FAD">
          <v:rect id="_x0000_i1032" alt="" style="width:431.85pt;height:.05pt;mso-width-percent:0;mso-height-percent:0;mso-width-percent:0;mso-height-percent:0" o:hrpct="952" o:hralign="center" o:hrstd="t" o:hr="t" fillcolor="#a0a0a0" stroked="f"/>
        </w:pict>
      </w:r>
    </w:p>
    <w:p w14:paraId="7E4EA89F"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t>ΣΤΟΧΟΙ ΚΑΙ ΕΝΔΕΙΞΕΙΣ</w:t>
      </w:r>
    </w:p>
    <w:p w14:paraId="2AA7D645"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Οι στόχοι της μη χειρουργικής ρινοπλαστικής διαφέρουν ανάλογα με τις ανάγκες και τις επιθυμίες του ασθενούς.</w:t>
      </w:r>
    </w:p>
    <w:p w14:paraId="03D3EE4F"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Μία από τις συχνότερες ενδείξεις είναι η εξομάλυνση ανωμαλιών της ρινικής ράχης. Μικρές καμπούρες ή ανωμαλίες μπορούν να «καμουφλαριστούν» με στρατηγική έγχυση υαλουρονικού οξέος άνωθεν ή κάτωθεν της προεξοχής, δημιουργώντας οπτικά ευθύγραμμη ράχη και βελτιώνοντας τη συνολική αρμονία του προφίλ. Η τεχνική αυτή είναι ιδιαίτερα αποτελεσματική για ήπιες δυσμορφίες χωρίς να απαιτείται οστεοτομία.</w:t>
      </w:r>
    </w:p>
    <w:p w14:paraId="746A0CFC"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Ένας δεύτερος συχνός στόχος είναι η βελτίωση της προβολής και του ορισμού της κορυφής της ρινός. Σε περιπτώσεις ανεπαρκούς στήριξης ή ήπιας ασυμμετρίας, η έγχυση κατάλληλου υλικού μπορεί να αναδείξει την κορυφή, προσφέροντας καλύτερη αναλογία με τα υπόλοιπα χαρακτηριστικά του προσώπου.</w:t>
      </w:r>
    </w:p>
    <w:p w14:paraId="238119E8"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μέθοδος μπορεί επίσης να χρησιμοποιηθεί για τη διόρθωση μικρών μετατραυματικών παραμορφώσεων ή για τη βελτίωση υπολειμματικών ατελειών μετά από χειρουργική ρινοπλαστική.</w:t>
      </w:r>
    </w:p>
    <w:p w14:paraId="2ACBA496"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lastRenderedPageBreak/>
        <w:t>Αν και δεν αποτελεί θεραπεία για σκολίωση ρινικού διαφράγματος, μπορεί να βελτιώσει την αισθητική εικόνα ήπιων αποκλίσεων μέσω εξισορρόπησης όγκου.</w:t>
      </w:r>
    </w:p>
    <w:p w14:paraId="6175D705"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372DF26D">
          <v:rect id="_x0000_i1031" alt="" style="width:431.85pt;height:.05pt;mso-width-percent:0;mso-height-percent:0;mso-width-percent:0;mso-height-percent:0" o:hrpct="952" o:hralign="center" o:hrstd="t" o:hr="t" fillcolor="#a0a0a0" stroked="f"/>
        </w:pict>
      </w:r>
    </w:p>
    <w:p w14:paraId="00C6D46E"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t>ΘΕΜΕΛΙΩΔΕΙΣ ΑΡΧΕΣ</w:t>
      </w:r>
    </w:p>
    <w:p w14:paraId="66D02BDE"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μη χειρουργική ρινοπλαστική βασίζεται στην προσθήκη όγκου και όχι στην αφαίρεση ιστού. Η τεχνική απαιτεί εξαιρετικά καλή γνώση της ρινικής ανατομίας και ιδιαίτερα της αγγειακής δομής, καθώς η περιοχή χαρακτηρίζεται από σημαντικές αναστομώσεις με την οφθαλμική κυκλοφορία.</w:t>
      </w:r>
    </w:p>
    <w:p w14:paraId="5B2FCE6C"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Το υαλουρονικό οξύ προτιμάται λόγω της αναστρεψιμότητάς του. Σε περίπτωση υπερδιόρθωσης ή αγγειακής επιπλοκής, η έγχυση υαλουρονιδάσης επιτρέπει τη διάλυση του υλικού. Η επιλογή του κατάλληλου προϊόντος εξαρτάται από τη ρεολογία του, τη συνεκτικότητα και τη διάρκεια δράσης.</w:t>
      </w:r>
    </w:p>
    <w:p w14:paraId="540EE451"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τεχνική έγχυσης παίζει καθοριστικό ρόλο. Χρησιμοποιούνται λεπτές βελόνες ή κάνουλες, με αργή έγχυση και μικρές ποσότητες, ώστε να ελαχιστοποιείται ο κίνδυνος επιπλοκών.</w:t>
      </w:r>
    </w:p>
    <w:p w14:paraId="5A59E485"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05458554">
          <v:rect id="_x0000_i1030" alt="" style="width:431.85pt;height:.05pt;mso-width-percent:0;mso-height-percent:0;mso-width-percent:0;mso-height-percent:0" o:hrpct="952" o:hralign="center" o:hrstd="t" o:hr="t" fillcolor="#a0a0a0" stroked="f"/>
        </w:pict>
      </w:r>
    </w:p>
    <w:p w14:paraId="45A0AE23"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t>ΠΡΙΝ ΤΗ ΔΙΑΔΙΚΑΣΙΑ</w:t>
      </w:r>
    </w:p>
    <w:p w14:paraId="40455D2A"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αρχική συμβουλευτική επίσκεψη περιλαμβάνει συζήτηση των προσδοκιών, λεπτομερή αξιολόγηση της ρινικής μορφολογίας και εκτίμηση αντενδείξεων. Παράγοντες όπως προηγούμενες επεμβάσεις, αγγειακή ανατομία και λήψη αντιπηκτικών λαμβάνονται σοβαρά υπόψη.</w:t>
      </w:r>
    </w:p>
    <w:p w14:paraId="4013F60A"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Στις περισσότερες περιπτώσεις επιλέγεται υαλουρονικό οξύ, ακριβώς λόγω της δυνατότητας αναστροφής του αποτελέσματος σε περίπτωση επιπλοκής.</w:t>
      </w:r>
    </w:p>
    <w:p w14:paraId="58D2B90B"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64449E6D">
          <v:rect id="_x0000_i1029" alt="" style="width:431.85pt;height:.05pt;mso-width-percent:0;mso-height-percent:0;mso-width-percent:0;mso-height-percent:0" o:hrpct="952" o:hralign="center" o:hrstd="t" o:hr="t" fillcolor="#a0a0a0" stroked="f"/>
        </w:pict>
      </w:r>
    </w:p>
    <w:p w14:paraId="2711CBEA"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lastRenderedPageBreak/>
        <w:t>Η ΔΙΑΔΙΚΑΣΙΑ</w:t>
      </w:r>
    </w:p>
    <w:p w14:paraId="70C89F94" w14:textId="77777777" w:rsidR="00C832E3" w:rsidRPr="00106BF9" w:rsidRDefault="00C832E3" w:rsidP="00C832E3">
      <w:pPr>
        <w:pStyle w:val="NormalWeb"/>
        <w:rPr>
          <w:rFonts w:ascii="Avenir Next" w:hAnsi="Avenir Next"/>
          <w:color w:val="000000" w:themeColor="text1"/>
        </w:rPr>
      </w:pPr>
      <w:r w:rsidRPr="00106BF9">
        <w:rPr>
          <w:rFonts w:ascii="Avenir Next" w:hAnsi="Avenir Next"/>
          <w:color w:val="000000" w:themeColor="text1"/>
          <w:lang w:val="el-GR"/>
        </w:rPr>
        <w:t xml:space="preserve">Η εφαρμογή πραγματοποιείται συνήθως σε ιατρείο. Μπορεί να προηγηθεί τοπική αναισθησία. Η έγχυση γίνεται με ακρίβεια στις προκαθορισμένες περιοχές. Κατά τη διάρκεια της πράξης ο ιατρός αξιολογεί το αποτέλεσμα σε πραγματικό χρόνο και προσαρμόζει την ποσότητα. </w:t>
      </w:r>
      <w:r w:rsidRPr="00106BF9">
        <w:rPr>
          <w:rFonts w:ascii="Avenir Next" w:hAnsi="Avenir Next"/>
          <w:color w:val="000000" w:themeColor="text1"/>
        </w:rPr>
        <w:t>Ακολουθεί ήπια διαμόρφωση του υλικού με τα δάκτυλα.</w:t>
      </w:r>
    </w:p>
    <w:p w14:paraId="5B9EED38"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58530022">
          <v:rect id="_x0000_i1028" alt="" style="width:411.4pt;height:.05pt;mso-width-percent:0;mso-height-percent:0;mso-width-percent:0;mso-height-percent:0" o:hrpct="907" o:hralign="center" o:hrstd="t" o:hr="t" fillcolor="#a0a0a0" stroked="f"/>
        </w:pict>
      </w:r>
    </w:p>
    <w:p w14:paraId="7AFF724E"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t>ΜΕΤΑ ΤΗ ΔΙΑΔΙΚΑΣΙΑ</w:t>
      </w:r>
    </w:p>
    <w:p w14:paraId="34D108EE"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Μετά τη θεραπεία συνιστάται αποφυγή έντονης άσκησης, έκθεσης στον ήλιο και πίεσης της ρινός για μερικές ημέρες. Το αποτέλεσμα είναι άμεσα ορατό και σταθεροποιείται μέσα στις επόμενες ημέρες.</w:t>
      </w:r>
    </w:p>
    <w:p w14:paraId="52507032"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διάρκεια του αποτελέσματος κυμαίνεται από αρκετούς μήνες έως ένα έτος ή περισσότερο, ανάλογα με το προϊόν και τα χαρακτηριστικά του ασθενούς.</w:t>
      </w:r>
    </w:p>
    <w:p w14:paraId="72ED10EB"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26FC74CA">
          <v:rect id="_x0000_i1027" alt="" style="width:411.4pt;height:.05pt;mso-width-percent:0;mso-height-percent:0;mso-width-percent:0;mso-height-percent:0" o:hrpct="907" o:hralign="center" o:hrstd="t" o:hr="t" fillcolor="#a0a0a0" stroked="f"/>
        </w:pict>
      </w:r>
    </w:p>
    <w:p w14:paraId="0BAEF0A6"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t>ΠΙΘΑΝΕΣ ΑΝΕΠΙΘΥΜΗΤΕΣ ΕΝΕΡΓΕΙΕΣ</w:t>
      </w:r>
    </w:p>
    <w:p w14:paraId="5152CBB9"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Οι συχνότερες αντιδράσεις είναι παροδικό οίδημα και εκχυμώσεις. Ήπια ενόχληση ή αίσθηση τάσης μπορεί να εμφανιστούν.</w:t>
      </w:r>
    </w:p>
    <w:p w14:paraId="705E539E"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Σπανιότερα μπορεί να εμφανιστούν αλλεργικές αντιδράσεις, αν και το υαλουρονικό οξύ είναι γενικά καλά ανεκτό.</w:t>
      </w:r>
    </w:p>
    <w:p w14:paraId="6DBAC550"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σοβαρότερη επιπλοκή είναι η αγγειακή απόφραξη, η οποία μπορεί να προκαλέσει ισχαιμία δέρματος ή, σε εξαιρετικά σπάνιες περιπτώσεις, οφθαλμικές επιπλοκές. Σε τέτοια περίπτωση απαιτείται άμεση ιατρική παρέμβαση.</w:t>
      </w:r>
    </w:p>
    <w:p w14:paraId="31308413"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Σε σπάνιες περιπτώσεις μπορεί να σχηματιστούν φλεγμονώδη οζίδια ή κοκκιώματα, τα οποία αντιμετωπίζονται ιατρικά.</w:t>
      </w:r>
    </w:p>
    <w:p w14:paraId="2D47AA0A"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6D5AF0DB">
          <v:rect id="_x0000_i1026" alt="" style="width:411.4pt;height:.05pt;mso-width-percent:0;mso-height-percent:0;mso-width-percent:0;mso-height-percent:0" o:hrpct="907" o:hralign="center" o:hrstd="t" o:hr="t" fillcolor="#a0a0a0" stroked="f"/>
        </w:pict>
      </w:r>
    </w:p>
    <w:p w14:paraId="31531302" w14:textId="77777777" w:rsidR="00C832E3" w:rsidRPr="00106BF9" w:rsidRDefault="00C832E3" w:rsidP="00C832E3">
      <w:pPr>
        <w:pStyle w:val="Titre1"/>
        <w:rPr>
          <w:rFonts w:ascii="Avenir Next" w:hAnsi="Avenir Next"/>
          <w:color w:val="000000" w:themeColor="text1"/>
        </w:rPr>
      </w:pPr>
      <w:r w:rsidRPr="00106BF9">
        <w:rPr>
          <w:rFonts w:ascii="Avenir Next" w:hAnsi="Avenir Next"/>
          <w:color w:val="000000" w:themeColor="text1"/>
        </w:rPr>
        <w:lastRenderedPageBreak/>
        <w:t>ΣΥΜΠΕΡΑΣΜΑ</w:t>
      </w:r>
    </w:p>
    <w:p w14:paraId="5B0CF13E"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μη χειρουργική ρινοπλαστική αποτελεί λιγότερο επεμβατική εναλλακτική για τη βελτίωση μικρών αισθητικών ατελειών της ρινός. Παρέχει άμεσα και προσωρινά αποτελέσματα με ελάχιστο χρόνο αποθεραπείας. Ωστόσο, πρόκειται για ακριβή ιατρική πράξη που απαιτεί εμπειρία, γνώση της ανατομίας και ικανότητα άμεσης αντιμετώπισης πιθανών επιπλοκών.</w:t>
      </w:r>
    </w:p>
    <w:p w14:paraId="1A8FB63C" w14:textId="77777777" w:rsidR="00C832E3" w:rsidRPr="00106BF9" w:rsidRDefault="00C832E3" w:rsidP="00C832E3">
      <w:pPr>
        <w:pStyle w:val="NormalWeb"/>
        <w:rPr>
          <w:rFonts w:ascii="Avenir Next" w:hAnsi="Avenir Next"/>
          <w:color w:val="000000" w:themeColor="text1"/>
          <w:lang w:val="el-GR"/>
        </w:rPr>
      </w:pPr>
      <w:r w:rsidRPr="00106BF9">
        <w:rPr>
          <w:rFonts w:ascii="Avenir Next" w:hAnsi="Avenir Next"/>
          <w:color w:val="000000" w:themeColor="text1"/>
          <w:lang w:val="el-GR"/>
        </w:rPr>
        <w:t>Η επιλογή έμπειρου ιατρού και η πλήρης ενημέρωση αποτελούν βασικές προϋποθέσεις ασφάλειας.</w:t>
      </w:r>
    </w:p>
    <w:p w14:paraId="164EE60E" w14:textId="77777777" w:rsidR="00C832E3" w:rsidRPr="00106BF9" w:rsidRDefault="00EA547A" w:rsidP="00C832E3">
      <w:pPr>
        <w:rPr>
          <w:rFonts w:ascii="Avenir Next" w:hAnsi="Avenir Next"/>
          <w:color w:val="000000" w:themeColor="text1"/>
        </w:rPr>
      </w:pPr>
      <w:r w:rsidRPr="00EA547A">
        <w:rPr>
          <w:rFonts w:ascii="Avenir Next" w:hAnsi="Avenir Next"/>
          <w:noProof/>
          <w:color w:val="000000" w:themeColor="text1"/>
        </w:rPr>
        <w:pict w14:anchorId="10C005DD">
          <v:rect id="_x0000_i1025" alt="" style="width:411.4pt;height:.05pt;mso-width-percent:0;mso-height-percent:0;mso-width-percent:0;mso-height-percent:0" o:hrpct="907" o:hralign="center" o:hrstd="t" o:hr="t" fillcolor="#a0a0a0" stroked="f"/>
        </w:pict>
      </w:r>
    </w:p>
    <w:p w14:paraId="5F52F0FC" w14:textId="5BAE9F58" w:rsidR="004941B0" w:rsidRPr="00106BF9" w:rsidRDefault="004941B0" w:rsidP="00784E1B">
      <w:pPr>
        <w:rPr>
          <w:rFonts w:ascii="Avenir Next" w:hAnsi="Avenir Next"/>
          <w:color w:val="000000" w:themeColor="text1"/>
          <w:lang w:val="el-GR"/>
        </w:rPr>
      </w:pPr>
    </w:p>
    <w:p w14:paraId="20D37234" w14:textId="77777777" w:rsidR="004941B0" w:rsidRPr="00106BF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06BF9">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106BF9"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06BF9">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106BF9"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106BF9"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106BF9">
        <w:rPr>
          <w:rFonts w:ascii="Avenir Next" w:hAnsi="Avenir Next" w:cs="Menlo"/>
          <w:b/>
          <w:bCs/>
          <w:color w:val="000000" w:themeColor="text1"/>
          <w:lang w:val="el-GR"/>
        </w:rPr>
        <w:t>ΠΡΟΣΩΠΙΚΕΣ ΠΑΡΑΤΗΡΗΣΕΙΣ:</w:t>
      </w:r>
    </w:p>
    <w:p w14:paraId="582865BA" w14:textId="5EE72606" w:rsidR="004941B0" w:rsidRPr="00106BF9" w:rsidRDefault="00784E1B" w:rsidP="004941B0">
      <w:pPr>
        <w:rPr>
          <w:rFonts w:ascii="Avenir Next" w:hAnsi="Avenir Next"/>
          <w:color w:val="000000" w:themeColor="text1"/>
          <w:lang w:val="el-GR"/>
        </w:rPr>
      </w:pPr>
      <w:r w:rsidRPr="00106BF9">
        <w:rPr>
          <w:rFonts w:ascii="Avenir Next" w:hAnsi="Avenir Next" w:cs="Menlo"/>
          <w:color w:val="000000" w:themeColor="text1"/>
          <w:lang w:val="el-GR"/>
        </w:rPr>
        <w:t>——————————————————————————————————————————————————————————————————————————————————————————————————————————————————————————————————</w:t>
      </w:r>
      <w:r w:rsidR="00106BF9" w:rsidRPr="00106BF9">
        <w:rPr>
          <w:rFonts w:ascii="Avenir Next" w:hAnsi="Avenir Next" w:cs="Menlo"/>
          <w:color w:val="000000" w:themeColor="text1"/>
          <w:lang w:val="el-GR"/>
        </w:rPr>
        <w:t>————————————————————————————————————————————————————————————————————————————————————————————————————————————————————————————————————————————————————————————————————————————————————————————————————————————————————————————————————————————————————————————————————————————————————————————————————————————————————————————————————————————————————————————————————————————————————————————————————————————————————————————————————————————————————————————————————————————————————————————————————————————————————————————————————————</w:t>
      </w:r>
    </w:p>
    <w:sectPr w:rsidR="004941B0" w:rsidRPr="00106B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44929"/>
    <w:multiLevelType w:val="multilevel"/>
    <w:tmpl w:val="E8A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5"/>
  </w:num>
  <w:num w:numId="11" w16cid:durableId="1894003908">
    <w:abstractNumId w:val="16"/>
  </w:num>
  <w:num w:numId="12" w16cid:durableId="1426151215">
    <w:abstractNumId w:val="10"/>
  </w:num>
  <w:num w:numId="13" w16cid:durableId="1995715767">
    <w:abstractNumId w:val="17"/>
  </w:num>
  <w:num w:numId="14" w16cid:durableId="2096197095">
    <w:abstractNumId w:val="11"/>
  </w:num>
  <w:num w:numId="15" w16cid:durableId="2112894837">
    <w:abstractNumId w:val="18"/>
  </w:num>
  <w:num w:numId="16" w16cid:durableId="1112477393">
    <w:abstractNumId w:val="12"/>
  </w:num>
  <w:num w:numId="17" w16cid:durableId="1200625083">
    <w:abstractNumId w:val="9"/>
  </w:num>
  <w:num w:numId="18" w16cid:durableId="89356135">
    <w:abstractNumId w:val="14"/>
  </w:num>
  <w:num w:numId="19" w16cid:durableId="2041514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6BF9"/>
    <w:rsid w:val="00107FF7"/>
    <w:rsid w:val="0015074B"/>
    <w:rsid w:val="0029639D"/>
    <w:rsid w:val="00326F90"/>
    <w:rsid w:val="004941B0"/>
    <w:rsid w:val="004C0952"/>
    <w:rsid w:val="004E0449"/>
    <w:rsid w:val="004E199D"/>
    <w:rsid w:val="00574AA3"/>
    <w:rsid w:val="006349FC"/>
    <w:rsid w:val="006B0B1D"/>
    <w:rsid w:val="00784E1B"/>
    <w:rsid w:val="008F27A8"/>
    <w:rsid w:val="0090265F"/>
    <w:rsid w:val="00AA1D8D"/>
    <w:rsid w:val="00B47730"/>
    <w:rsid w:val="00BC42F5"/>
    <w:rsid w:val="00C71B78"/>
    <w:rsid w:val="00C832E3"/>
    <w:rsid w:val="00CB0664"/>
    <w:rsid w:val="00EA54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1077</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2026-02-14T13:47:00Z</dcterms:created>
  <dcterms:modified xsi:type="dcterms:W3CDTF">2026-02-14T21:45:00Z</dcterms:modified>
  <cp:category/>
</cp:coreProperties>
</file>