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060A0" w14:textId="5A282EED" w:rsidR="004941B0" w:rsidRPr="001878A3" w:rsidRDefault="00574AA3" w:rsidP="00574AA3">
      <w:pPr>
        <w:jc w:val="center"/>
        <w:rPr>
          <w:rFonts w:ascii="Avenir Next" w:hAnsi="Avenir Next"/>
          <w:i/>
          <w:color w:val="000000" w:themeColor="text1"/>
          <w:sz w:val="28"/>
          <w:lang w:val="el-GR"/>
        </w:rPr>
      </w:pPr>
      <w:r w:rsidRPr="001878A3">
        <w:rPr>
          <w:rFonts w:ascii="Avenir Next" w:hAnsi="Avenir Next"/>
          <w:i/>
          <w:iCs/>
          <w:noProof/>
          <w:color w:val="000000" w:themeColor="text1"/>
          <w:sz w:val="25"/>
          <w:szCs w:val="25"/>
          <w:bdr w:val="none" w:sz="0" w:space="0" w:color="auto" w:frame="1"/>
        </w:rPr>
        <w:drawing>
          <wp:inline distT="0" distB="0" distL="0" distR="0" wp14:anchorId="205823E8" wp14:editId="70665172">
            <wp:extent cx="1254125" cy="1437005"/>
            <wp:effectExtent l="0" t="0" r="3175" b="0"/>
            <wp:docPr id="1089871181" name="Image 2" descr="Une image contenant écriture manuscrite, calligraphie, Police, typograph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71181" name="Image 2" descr="Une image contenant écriture manuscrite, calligraphie, Police, typographi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54125" cy="1437005"/>
                    </a:xfrm>
                    <a:prstGeom prst="rect">
                      <a:avLst/>
                    </a:prstGeom>
                    <a:noFill/>
                    <a:ln>
                      <a:noFill/>
                    </a:ln>
                  </pic:spPr>
                </pic:pic>
              </a:graphicData>
            </a:graphic>
          </wp:inline>
        </w:drawing>
      </w:r>
    </w:p>
    <w:p w14:paraId="588DB57F" w14:textId="77777777" w:rsidR="004941B0" w:rsidRPr="001878A3" w:rsidRDefault="004941B0">
      <w:pPr>
        <w:rPr>
          <w:rFonts w:ascii="Avenir Next" w:hAnsi="Avenir Next"/>
          <w:i/>
          <w:color w:val="000000" w:themeColor="text1"/>
          <w:sz w:val="28"/>
          <w:lang w:val="el-GR"/>
        </w:rPr>
      </w:pPr>
    </w:p>
    <w:p w14:paraId="610B8E42" w14:textId="77777777" w:rsidR="004941B0" w:rsidRPr="001878A3" w:rsidRDefault="004941B0">
      <w:pPr>
        <w:rPr>
          <w:rFonts w:ascii="Avenir Next" w:hAnsi="Avenir Next"/>
          <w:i/>
          <w:color w:val="000000" w:themeColor="text1"/>
          <w:sz w:val="28"/>
          <w:lang w:val="el-GR"/>
        </w:rPr>
      </w:pPr>
    </w:p>
    <w:p w14:paraId="2C0B549B" w14:textId="528C2A47" w:rsidR="001878A3" w:rsidRPr="001878A3" w:rsidRDefault="001878A3" w:rsidP="001878A3">
      <w:pPr>
        <w:pStyle w:val="Titre1"/>
        <w:rPr>
          <w:rFonts w:ascii="Avenir Next" w:hAnsi="Avenir Next"/>
          <w:b w:val="0"/>
          <w:bCs w:val="0"/>
          <w:i/>
          <w:iCs/>
          <w:color w:val="000000" w:themeColor="text1"/>
          <w:sz w:val="32"/>
          <w:szCs w:val="32"/>
        </w:rPr>
      </w:pPr>
      <w:r w:rsidRPr="001878A3">
        <w:rPr>
          <w:rFonts w:ascii="Avenir Next" w:hAnsi="Avenir Next"/>
          <w:i/>
          <w:iCs/>
          <w:color w:val="000000" w:themeColor="text1"/>
          <w:sz w:val="40"/>
          <w:szCs w:val="40"/>
        </w:rPr>
        <w:t>ΕΝΕΣΕΙΣ ΠΡΟΪΟΝΤΩΝ ΠΛΗΡΩΣΗΣ</w:t>
      </w:r>
      <w:r>
        <w:rPr>
          <w:rFonts w:ascii="Avenir Next" w:hAnsi="Avenir Next"/>
          <w:i/>
          <w:iCs/>
          <w:color w:val="000000" w:themeColor="text1"/>
          <w:sz w:val="40"/>
          <w:szCs w:val="40"/>
        </w:rPr>
        <w:t xml:space="preserve"> </w:t>
      </w:r>
      <w:r w:rsidRPr="001878A3">
        <w:rPr>
          <w:rFonts w:ascii="Avenir Next" w:hAnsi="Avenir Next"/>
          <w:b w:val="0"/>
          <w:bCs w:val="0"/>
          <w:i/>
          <w:iCs/>
          <w:color w:val="000000" w:themeColor="text1"/>
          <w:sz w:val="40"/>
          <w:szCs w:val="40"/>
        </w:rPr>
        <w:t xml:space="preserve">- </w:t>
      </w:r>
      <w:r w:rsidRPr="001878A3">
        <w:rPr>
          <w:rFonts w:ascii="Avenir Next" w:hAnsi="Avenir Next" w:cs="Menlo"/>
          <w:b w:val="0"/>
          <w:bCs w:val="0"/>
          <w:i/>
          <w:iCs/>
          <w:color w:val="000000" w:themeColor="text1"/>
          <w:sz w:val="32"/>
          <w:szCs w:val="32"/>
          <w:lang w:val="el-GR"/>
        </w:rPr>
        <w:t>(</w:t>
      </w:r>
      <w:r w:rsidRPr="001878A3">
        <w:rPr>
          <w:rFonts w:ascii="Avenir Next" w:hAnsi="Avenir Next" w:cs="Menlo"/>
          <w:b w:val="0"/>
          <w:bCs w:val="0"/>
          <w:i/>
          <w:iCs/>
          <w:color w:val="000000" w:themeColor="text1"/>
          <w:sz w:val="32"/>
          <w:szCs w:val="32"/>
          <w:lang w:val="fr-CH"/>
        </w:rPr>
        <w:t>fillers</w:t>
      </w:r>
      <w:r w:rsidRPr="001878A3">
        <w:rPr>
          <w:rFonts w:ascii="Avenir Next" w:hAnsi="Avenir Next" w:cs="Menlo"/>
          <w:b w:val="0"/>
          <w:bCs w:val="0"/>
          <w:i/>
          <w:iCs/>
          <w:color w:val="000000" w:themeColor="text1"/>
          <w:sz w:val="32"/>
          <w:szCs w:val="32"/>
          <w:lang w:val="el-GR"/>
        </w:rPr>
        <w:t>)</w:t>
      </w:r>
    </w:p>
    <w:p w14:paraId="713736D7" w14:textId="77777777" w:rsidR="00C71B78" w:rsidRPr="001878A3" w:rsidRDefault="00C71B78"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b/>
          <w:bCs/>
          <w:i/>
          <w:iCs/>
          <w:color w:val="000000" w:themeColor="text1"/>
          <w:sz w:val="36"/>
          <w:szCs w:val="36"/>
          <w:lang w:val="el-GR"/>
        </w:rPr>
      </w:pPr>
    </w:p>
    <w:p w14:paraId="2D872CBD" w14:textId="0C840651" w:rsidR="004941B0" w:rsidRPr="001878A3"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1878A3">
        <w:rPr>
          <w:rFonts w:ascii="Avenir Next" w:hAnsi="Avenir Next" w:cs="Menlo"/>
          <w:i/>
          <w:iCs/>
          <w:color w:val="000000" w:themeColor="text1"/>
          <w:lang w:val="el-GR"/>
        </w:rPr>
        <w:t>Αυτό το ενημερωτικό έντυπο ως συμπλήρωμα της πρώτης σας συμβουλευτικής επίσκεψης, για να προσπαθήσει να απαντήσει σε όλες τις ερωτήσεις που μπορεί να έχετε αν σκέφτεστε να υποβληθείτε</w:t>
      </w:r>
      <w:r w:rsidR="00C71B78" w:rsidRPr="001878A3">
        <w:rPr>
          <w:rFonts w:ascii="Avenir Next" w:hAnsi="Avenir Next" w:cs="Menlo"/>
          <w:i/>
          <w:iCs/>
          <w:color w:val="000000" w:themeColor="text1"/>
          <w:lang w:val="el-GR"/>
        </w:rPr>
        <w:t xml:space="preserve"> σε</w:t>
      </w:r>
      <w:r w:rsidR="001878A3" w:rsidRPr="001878A3">
        <w:rPr>
          <w:rFonts w:ascii="Avenir Next" w:hAnsi="Avenir Next" w:cs="Menlo"/>
          <w:i/>
          <w:iCs/>
          <w:color w:val="000000" w:themeColor="text1"/>
          <w:lang w:val="el-GR"/>
        </w:rPr>
        <w:t xml:space="preserve"> </w:t>
      </w:r>
      <w:r w:rsidR="001878A3">
        <w:rPr>
          <w:rFonts w:ascii="Avenir Next" w:hAnsi="Avenir Next" w:cs="Menlo"/>
          <w:i/>
          <w:iCs/>
          <w:color w:val="000000" w:themeColor="text1"/>
          <w:lang w:val="el-GR"/>
        </w:rPr>
        <w:t>ενέσεις προϊόντων πλήρωσης.</w:t>
      </w:r>
      <w:r w:rsidR="00784E1B" w:rsidRPr="001878A3">
        <w:rPr>
          <w:rFonts w:ascii="Avenir Next" w:hAnsi="Avenir Next" w:cs="Menlo"/>
          <w:i/>
          <w:iCs/>
          <w:color w:val="000000" w:themeColor="text1"/>
          <w:lang w:val="el-GR"/>
        </w:rPr>
        <w:t xml:space="preserve"> </w:t>
      </w:r>
      <w:r w:rsidRPr="001878A3">
        <w:rPr>
          <w:rFonts w:ascii="Avenir Next" w:hAnsi="Avenir Next" w:cs="Menlo"/>
          <w:i/>
          <w:iCs/>
          <w:color w:val="000000" w:themeColor="text1"/>
          <w:lang w:val="el-GR"/>
        </w:rPr>
        <w:t>Ο σκοπός αυτού του εγγράφου είναι να σας παρέχει όλα τα απαραίτητα και ουσιώδη στοιχεία πληροφόρησης για να σας επιτρέψει να λάβετε την απόφασή σας με πλήρη επίγνωση. Επομένως, σας συνιστάται να το διαβάσετε με μεγάλη προσοχή.</w:t>
      </w:r>
    </w:p>
    <w:p w14:paraId="5CB77414" w14:textId="77777777" w:rsidR="00C71B78" w:rsidRPr="001878A3" w:rsidRDefault="00C71B78" w:rsidP="00784E1B">
      <w:pPr>
        <w:rPr>
          <w:rFonts w:ascii="Avenir Next" w:hAnsi="Avenir Next"/>
          <w:color w:val="000000" w:themeColor="text1"/>
          <w:lang w:val="el-GR"/>
        </w:rPr>
      </w:pPr>
    </w:p>
    <w:p w14:paraId="76ED5D23" w14:textId="77777777" w:rsidR="0086547E" w:rsidRPr="001878A3" w:rsidRDefault="006E7D2F" w:rsidP="0086547E">
      <w:pPr>
        <w:rPr>
          <w:rFonts w:ascii="Avenir Next" w:hAnsi="Avenir Next"/>
          <w:color w:val="000000" w:themeColor="text1"/>
        </w:rPr>
      </w:pPr>
      <w:r>
        <w:pict w14:anchorId="4828703D">
          <v:rect id="Horizontal Line 4" o:spid="_x0000_s1036"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B1AF8A3" w14:textId="77777777" w:rsidR="0086547E" w:rsidRPr="001878A3" w:rsidRDefault="0086547E" w:rsidP="0086547E">
      <w:pPr>
        <w:pStyle w:val="Titre2"/>
        <w:rPr>
          <w:rFonts w:ascii="Avenir Next" w:hAnsi="Avenir Next"/>
          <w:color w:val="000000" w:themeColor="text1"/>
        </w:rPr>
      </w:pPr>
      <w:r w:rsidRPr="001878A3">
        <w:rPr>
          <w:rFonts w:ascii="Avenir Next" w:hAnsi="Avenir Next"/>
          <w:color w:val="000000" w:themeColor="text1"/>
        </w:rPr>
        <w:t>ΟΡΙΣΜΟΣ</w:t>
      </w:r>
    </w:p>
    <w:p w14:paraId="24C12E81"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Η αυξανόμενη ζήτηση για ήπιες ιατρικές αισθητικές τεχνικές, χωρίς χειρουργική παρέμβαση, με στόχο την αντιμετώπιση των επιπτώσεων της γήρανσης ή ορισμένων δυσμορφιών, οδήγησε στη σημαντική ανάπτυξη και διάδοση των ενέσιμων προϊόντων πλήρωσης. Πρόκειται για ουσίες που μπορούν να εγχυθούν σε συγκεκριμένα επίπεδα του δέρματος ή του υποδόριου ιστού με σκοπό να διορθώσουν ρυτίδες, αύλακες, ελλείμματα όγκου ή καταθλίψεις του προσώπου.</w:t>
      </w:r>
    </w:p>
    <w:p w14:paraId="2221C190"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 xml:space="preserve">Μια συνεδρία ενέσεων μπορεί να πραγματοποιηθεί ως αυτόνομη πράξη, αλλά μπορεί επίσης να ενταχθεί σε ένα συνολικότερο πλάνο ιατρικών ή χειρουργικών παρεμβάσεων αναζωογόνησης, όπως χημικά </w:t>
      </w:r>
      <w:r w:rsidRPr="001878A3">
        <w:rPr>
          <w:rFonts w:ascii="Avenir Next" w:hAnsi="Avenir Next"/>
          <w:color w:val="000000" w:themeColor="text1"/>
        </w:rPr>
        <w:t>peeling</w:t>
      </w:r>
      <w:r w:rsidRPr="001878A3">
        <w:rPr>
          <w:rFonts w:ascii="Avenir Next" w:hAnsi="Avenir Next"/>
          <w:color w:val="000000" w:themeColor="text1"/>
          <w:lang w:val="el-GR"/>
        </w:rPr>
        <w:t xml:space="preserve">, </w:t>
      </w:r>
      <w:r w:rsidRPr="001878A3">
        <w:rPr>
          <w:rFonts w:ascii="Avenir Next" w:hAnsi="Avenir Next"/>
          <w:color w:val="000000" w:themeColor="text1"/>
        </w:rPr>
        <w:t>laser</w:t>
      </w:r>
      <w:r w:rsidRPr="001878A3">
        <w:rPr>
          <w:rFonts w:ascii="Avenir Next" w:hAnsi="Avenir Next"/>
          <w:color w:val="000000" w:themeColor="text1"/>
          <w:lang w:val="el-GR"/>
        </w:rPr>
        <w:t xml:space="preserve"> </w:t>
      </w:r>
      <w:r w:rsidRPr="001878A3">
        <w:rPr>
          <w:rFonts w:ascii="Avenir Next" w:hAnsi="Avenir Next"/>
          <w:color w:val="000000" w:themeColor="text1"/>
        </w:rPr>
        <w:t>resurfacing</w:t>
      </w:r>
      <w:r w:rsidRPr="001878A3">
        <w:rPr>
          <w:rFonts w:ascii="Avenir Next" w:hAnsi="Avenir Next"/>
          <w:color w:val="000000" w:themeColor="text1"/>
          <w:lang w:val="el-GR"/>
        </w:rPr>
        <w:t xml:space="preserve">, δερμοαπόξεση, βλεφαροπλαστική, </w:t>
      </w:r>
      <w:r w:rsidRPr="001878A3">
        <w:rPr>
          <w:rFonts w:ascii="Avenir Next" w:hAnsi="Avenir Next"/>
          <w:color w:val="000000" w:themeColor="text1"/>
        </w:rPr>
        <w:t>lifting</w:t>
      </w:r>
      <w:r w:rsidRPr="001878A3">
        <w:rPr>
          <w:rFonts w:ascii="Avenir Next" w:hAnsi="Avenir Next"/>
          <w:color w:val="000000" w:themeColor="text1"/>
          <w:lang w:val="el-GR"/>
        </w:rPr>
        <w:t xml:space="preserve"> ή ενέσεις τοξίνης </w:t>
      </w:r>
      <w:r w:rsidRPr="001878A3">
        <w:rPr>
          <w:rFonts w:ascii="Avenir Next" w:hAnsi="Avenir Next"/>
          <w:color w:val="000000" w:themeColor="text1"/>
          <w:lang w:val="el-GR"/>
        </w:rPr>
        <w:lastRenderedPageBreak/>
        <w:t>αλλαντίασης (</w:t>
      </w:r>
      <w:r w:rsidRPr="001878A3">
        <w:rPr>
          <w:rFonts w:ascii="Avenir Next" w:hAnsi="Avenir Next"/>
          <w:color w:val="000000" w:themeColor="text1"/>
        </w:rPr>
        <w:t>Botulinum</w:t>
      </w:r>
      <w:r w:rsidRPr="001878A3">
        <w:rPr>
          <w:rFonts w:ascii="Avenir Next" w:hAnsi="Avenir Next"/>
          <w:color w:val="000000" w:themeColor="text1"/>
          <w:lang w:val="el-GR"/>
        </w:rPr>
        <w:t xml:space="preserve"> </w:t>
      </w:r>
      <w:r w:rsidRPr="001878A3">
        <w:rPr>
          <w:rFonts w:ascii="Avenir Next" w:hAnsi="Avenir Next"/>
          <w:color w:val="000000" w:themeColor="text1"/>
        </w:rPr>
        <w:t>toxin</w:t>
      </w:r>
      <w:r w:rsidRPr="001878A3">
        <w:rPr>
          <w:rFonts w:ascii="Avenir Next" w:hAnsi="Avenir Next"/>
          <w:color w:val="000000" w:themeColor="text1"/>
          <w:lang w:val="el-GR"/>
        </w:rPr>
        <w:t>), οι οποίες στοχεύουν στη χαλάρωση συγκεκριμένων μυών που συμβάλλουν στη δημιουργία ρυτίδων.</w:t>
      </w:r>
    </w:p>
    <w:p w14:paraId="040B7BB8" w14:textId="77777777" w:rsidR="0086547E" w:rsidRPr="001878A3" w:rsidRDefault="006E7D2F" w:rsidP="0086547E">
      <w:pPr>
        <w:rPr>
          <w:rFonts w:ascii="Avenir Next" w:hAnsi="Avenir Next"/>
          <w:color w:val="000000" w:themeColor="text1"/>
        </w:rPr>
      </w:pPr>
      <w:r>
        <w:pict w14:anchorId="2E93BB76">
          <v:rect id="Horizontal Line 5" o:spid="_x0000_s1035"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4796037B" w14:textId="77777777" w:rsidR="0086547E" w:rsidRPr="001878A3" w:rsidRDefault="0086547E" w:rsidP="0086547E">
      <w:pPr>
        <w:pStyle w:val="Titre2"/>
        <w:rPr>
          <w:rFonts w:ascii="Avenir Next" w:hAnsi="Avenir Next"/>
          <w:color w:val="000000" w:themeColor="text1"/>
        </w:rPr>
      </w:pPr>
      <w:r w:rsidRPr="001878A3">
        <w:rPr>
          <w:rFonts w:ascii="Avenir Next" w:hAnsi="Avenir Next"/>
          <w:color w:val="000000" w:themeColor="text1"/>
        </w:rPr>
        <w:t>ΣΤΟΧΟΙ</w:t>
      </w:r>
    </w:p>
    <w:p w14:paraId="61106404"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Οι ενέσεις προϊόντων πλήρωσης αποσκοπούν στη γρήγορη και σχετικά απλή διόρθωση των σημαδιών γήρανσης ή δυσμορφιών του προσώπου, μέσω αναπλήρωσης και αποκατάστασης όγκου εκεί όπου υπάρχει έλλειμμα. Οι συχνότερες περιοχές εφαρμογής περιλαμβάνουν:</w:t>
      </w:r>
    </w:p>
    <w:p w14:paraId="4CD9E197"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 Ρινοπαρειακές αύλακες (από τη ρίζα της μύτης έως τη γωνία του στόματος).</w:t>
      </w:r>
      <w:r w:rsidRPr="001878A3">
        <w:rPr>
          <w:rFonts w:ascii="Avenir Next" w:hAnsi="Avenir Next"/>
          <w:color w:val="000000" w:themeColor="text1"/>
          <w:lang w:val="el-GR"/>
        </w:rPr>
        <w:br/>
        <w:t>– Ρυτίδες «πικρίας» (από τη γωνία του στόματος προς το πηγούνι).</w:t>
      </w:r>
      <w:r w:rsidRPr="001878A3">
        <w:rPr>
          <w:rFonts w:ascii="Avenir Next" w:hAnsi="Avenir Next"/>
          <w:color w:val="000000" w:themeColor="text1"/>
          <w:lang w:val="el-GR"/>
        </w:rPr>
        <w:br/>
        <w:t>– Λαβιο-γενειακή αύλακα.</w:t>
      </w:r>
      <w:r w:rsidRPr="001878A3">
        <w:rPr>
          <w:rFonts w:ascii="Avenir Next" w:hAnsi="Avenir Next"/>
          <w:color w:val="000000" w:themeColor="text1"/>
          <w:lang w:val="el-GR"/>
        </w:rPr>
        <w:br/>
        <w:t>– Ρυτίδες μετώπου, μεσόφρυο («ρυτίδες του λέοντος»), «πόδι χήνας».</w:t>
      </w:r>
      <w:r w:rsidRPr="001878A3">
        <w:rPr>
          <w:rFonts w:ascii="Avenir Next" w:hAnsi="Avenir Next"/>
          <w:color w:val="000000" w:themeColor="text1"/>
          <w:lang w:val="el-GR"/>
        </w:rPr>
        <w:br/>
        <w:t>– Ρυτίδες παρειών, πηγουνιού και περιοχής γύρω από το στόμα.</w:t>
      </w:r>
      <w:r w:rsidRPr="001878A3">
        <w:rPr>
          <w:rFonts w:ascii="Avenir Next" w:hAnsi="Avenir Next"/>
          <w:color w:val="000000" w:themeColor="text1"/>
          <w:lang w:val="el-GR"/>
        </w:rPr>
        <w:br/>
        <w:t>– Διόρθωση χειλιών (περίγραμμα, όγκος, συμμετρία).</w:t>
      </w:r>
      <w:r w:rsidRPr="001878A3">
        <w:rPr>
          <w:rFonts w:ascii="Avenir Next" w:hAnsi="Avenir Next"/>
          <w:color w:val="000000" w:themeColor="text1"/>
          <w:lang w:val="el-GR"/>
        </w:rPr>
        <w:br/>
        <w:t>– Ενίσχυση όγκου σε ζυγωματικά, πηγούνι, γνάθο.</w:t>
      </w:r>
      <w:r w:rsidRPr="001878A3">
        <w:rPr>
          <w:rFonts w:ascii="Avenir Next" w:hAnsi="Avenir Next"/>
          <w:color w:val="000000" w:themeColor="text1"/>
          <w:lang w:val="el-GR"/>
        </w:rPr>
        <w:br/>
        <w:t>– Διόρθωση καταθλίψεων ή ουλών (π.χ. ακμής, ανεμευλογιάς, τραύματος).</w:t>
      </w:r>
    </w:p>
    <w:p w14:paraId="5DB04C86"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Οι αλλοιώσεις αυτές συνήθως δεν εξαφανίζονται πλήρως, αλλά βελτιώνονται σημαντικά. Πρέπει να επισημανθεί ότι ορισμένες καταστάσεις, όπως η χαλάρωση των ιστών ή η περίσσεια δέρματος, δεν μπορούν να αντιμετωπιστούν με απλές ενέσεις και ενδέχεται να απαιτούν χειρουργική παρέμβαση.</w:t>
      </w:r>
    </w:p>
    <w:p w14:paraId="4F749562"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Οι ενέσεις μπορούν να πραγματοποιηθούν τόσο σε γυναίκες όσο και σε άνδρες, συνήθως μετά την ηλικία των 30–35 ετών, αν και σε ορισμένες περιπτώσεις (συνταγματικές δυσμορφίες ή πρώιμες ατροφίες) μπορεί να εφαρμοστούν νωρίτερα.</w:t>
      </w:r>
    </w:p>
    <w:p w14:paraId="4693AF3C" w14:textId="77777777" w:rsidR="0086547E" w:rsidRPr="001878A3" w:rsidRDefault="006E7D2F" w:rsidP="0086547E">
      <w:pPr>
        <w:rPr>
          <w:rFonts w:ascii="Avenir Next" w:hAnsi="Avenir Next"/>
          <w:color w:val="000000" w:themeColor="text1"/>
        </w:rPr>
      </w:pPr>
      <w:r>
        <w:pict w14:anchorId="3B7E1989">
          <v:rect id="Horizontal Line 6" o:spid="_x0000_s1034"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AB67A73" w14:textId="77777777" w:rsidR="0086547E" w:rsidRPr="001878A3" w:rsidRDefault="0086547E" w:rsidP="0086547E">
      <w:pPr>
        <w:pStyle w:val="Titre2"/>
        <w:rPr>
          <w:rFonts w:ascii="Avenir Next" w:hAnsi="Avenir Next"/>
          <w:color w:val="000000" w:themeColor="text1"/>
        </w:rPr>
      </w:pPr>
      <w:r w:rsidRPr="001878A3">
        <w:rPr>
          <w:rFonts w:ascii="Avenir Next" w:hAnsi="Avenir Next"/>
          <w:color w:val="000000" w:themeColor="text1"/>
        </w:rPr>
        <w:t>ΑΡΧΕΣ – ΤΥΠΟΙ ΠΡΟΪΟΝΤΩΝ</w:t>
      </w:r>
    </w:p>
    <w:p w14:paraId="3584459A"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Η βασική αρχή συνίσταται στην έγχυση ενός προϊόντος μέσα στο πάχος του δέρματος ή στον υποδόριο ιστό, ώστε να δημιουργηθεί όγκος και να γεμίσουν οι καταθλίψεις.</w:t>
      </w:r>
    </w:p>
    <w:p w14:paraId="2E6EE4C9"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lastRenderedPageBreak/>
        <w:t xml:space="preserve">Στην αγορά κυκλοφορούν πολλά προϊόντα με σήμανση </w:t>
      </w:r>
      <w:r w:rsidRPr="001878A3">
        <w:rPr>
          <w:rFonts w:ascii="Avenir Next" w:hAnsi="Avenir Next"/>
          <w:color w:val="000000" w:themeColor="text1"/>
        </w:rPr>
        <w:t>CE</w:t>
      </w:r>
      <w:r w:rsidRPr="001878A3">
        <w:rPr>
          <w:rFonts w:ascii="Avenir Next" w:hAnsi="Avenir Next"/>
          <w:color w:val="000000" w:themeColor="text1"/>
          <w:lang w:val="el-GR"/>
        </w:rPr>
        <w:t>, τα οποία έχουν υποβληθεί σε ελέγχους ασφάλειας. Παρά ταύτα, η λίστα των διαθέσιμων προϊόντων μεταβάλλεται συνεχώς.</w:t>
      </w:r>
    </w:p>
    <w:p w14:paraId="6F4BC391"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Διακρίνονται δύο κύριες κατηγορίες:</w:t>
      </w:r>
    </w:p>
    <w:p w14:paraId="489A75A1" w14:textId="77777777" w:rsidR="0086547E" w:rsidRPr="001878A3" w:rsidRDefault="0086547E" w:rsidP="0086547E">
      <w:pPr>
        <w:pStyle w:val="Titre3"/>
        <w:rPr>
          <w:rFonts w:ascii="Avenir Next" w:hAnsi="Avenir Next"/>
          <w:color w:val="000000" w:themeColor="text1"/>
        </w:rPr>
      </w:pPr>
      <w:r w:rsidRPr="001878A3">
        <w:rPr>
          <w:rFonts w:ascii="Avenir Next" w:hAnsi="Avenir Next"/>
          <w:color w:val="000000" w:themeColor="text1"/>
        </w:rPr>
        <w:t>Βιοδιασπώμενα προϊόντα</w:t>
      </w:r>
    </w:p>
    <w:p w14:paraId="689F8750"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Απορροφώνται σταδιακά από τον οργανισμό.</w:t>
      </w:r>
    </w:p>
    <w:p w14:paraId="4B17027F"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 Κολλαγόνο (σπανιότερα χρησιμοποιούμενο πλέον).</w:t>
      </w:r>
      <w:r w:rsidRPr="001878A3">
        <w:rPr>
          <w:rFonts w:ascii="Avenir Next" w:hAnsi="Avenir Next"/>
          <w:color w:val="000000" w:themeColor="text1"/>
          <w:lang w:val="el-GR"/>
        </w:rPr>
        <w:br/>
        <w:t>– Υαλουρονικό οξύ (πλέον ευρέως χρησιμοποιούμενο).</w:t>
      </w:r>
      <w:r w:rsidRPr="001878A3">
        <w:rPr>
          <w:rFonts w:ascii="Avenir Next" w:hAnsi="Avenir Next"/>
          <w:color w:val="000000" w:themeColor="text1"/>
          <w:lang w:val="el-GR"/>
        </w:rPr>
        <w:br/>
        <w:t xml:space="preserve">– Πολυγαλακτικό οξύ (π.χ. </w:t>
      </w:r>
      <w:r w:rsidRPr="001878A3">
        <w:rPr>
          <w:rFonts w:ascii="Avenir Next" w:hAnsi="Avenir Next"/>
          <w:color w:val="000000" w:themeColor="text1"/>
        </w:rPr>
        <w:t>Sculptra</w:t>
      </w:r>
      <w:r w:rsidRPr="001878A3">
        <w:rPr>
          <w:rFonts w:ascii="Avenir Next" w:hAnsi="Avenir Next"/>
          <w:color w:val="000000" w:themeColor="text1"/>
          <w:lang w:val="el-GR"/>
        </w:rPr>
        <w:t>).</w:t>
      </w:r>
      <w:r w:rsidRPr="001878A3">
        <w:rPr>
          <w:rFonts w:ascii="Avenir Next" w:hAnsi="Avenir Next"/>
          <w:color w:val="000000" w:themeColor="text1"/>
          <w:lang w:val="el-GR"/>
        </w:rPr>
        <w:br/>
        <w:t xml:space="preserve">– Υδροξυαπατίτης ασβεστίου (π.χ. </w:t>
      </w:r>
      <w:r w:rsidRPr="001878A3">
        <w:rPr>
          <w:rFonts w:ascii="Avenir Next" w:hAnsi="Avenir Next"/>
          <w:color w:val="000000" w:themeColor="text1"/>
        </w:rPr>
        <w:t>Radiesse</w:t>
      </w:r>
      <w:r w:rsidRPr="001878A3">
        <w:rPr>
          <w:rFonts w:ascii="Avenir Next" w:hAnsi="Avenir Next"/>
          <w:color w:val="000000" w:themeColor="text1"/>
          <w:lang w:val="el-GR"/>
        </w:rPr>
        <w:t>).</w:t>
      </w:r>
    </w:p>
    <w:p w14:paraId="4CC79455"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Η διάρκεια δράσης ποικίλλει από μερικούς μήνες έως αρκετά έτη, ανάλογα με το προϊόν, την περιοχή και τον μεταβολισμό του ασθενούς.</w:t>
      </w:r>
    </w:p>
    <w:p w14:paraId="1F9264B0" w14:textId="77777777" w:rsidR="0086547E" w:rsidRPr="001878A3" w:rsidRDefault="0086547E" w:rsidP="0086547E">
      <w:pPr>
        <w:pStyle w:val="Titre3"/>
        <w:rPr>
          <w:rFonts w:ascii="Avenir Next" w:hAnsi="Avenir Next"/>
          <w:color w:val="000000" w:themeColor="text1"/>
        </w:rPr>
      </w:pPr>
      <w:r w:rsidRPr="001878A3">
        <w:rPr>
          <w:rFonts w:ascii="Avenir Next" w:hAnsi="Avenir Next"/>
          <w:color w:val="000000" w:themeColor="text1"/>
        </w:rPr>
        <w:t>Μη βιοδιασπώμενα προϊόντα</w:t>
      </w:r>
    </w:p>
    <w:p w14:paraId="4E2D6551"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Παραμένουν στον οργανισμό για μεγάλο χρονικό διάστημα ή μόνιμα. Πολλά εξ αυτών έχουν αποσυρθεί από την αγορά λόγω επιπλοκών (π.χ. σιλικόνη ενέσιμη, πολυακρυλαμίδη). Σήμερα η χρήση τους είναι εξαιρετικά περιορισμένη.</w:t>
      </w:r>
    </w:p>
    <w:p w14:paraId="3E94A2CD"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Σε περιπτώσεις σημαντικής απώλειας όγκου, μπορεί να συζητηθεί η επιλογή αυτογενούς μεταφοράς λίπους (λιπομεταφορά).</w:t>
      </w:r>
    </w:p>
    <w:p w14:paraId="67366C29" w14:textId="77777777" w:rsidR="0086547E" w:rsidRPr="001878A3" w:rsidRDefault="006E7D2F" w:rsidP="0086547E">
      <w:pPr>
        <w:rPr>
          <w:rFonts w:ascii="Avenir Next" w:hAnsi="Avenir Next"/>
          <w:color w:val="000000" w:themeColor="text1"/>
        </w:rPr>
      </w:pPr>
      <w:r>
        <w:pict w14:anchorId="7B14E159">
          <v:rect id="Horizontal Line 7" o:spid="_x0000_s1033"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DE04AFF" w14:textId="77777777" w:rsidR="0086547E" w:rsidRPr="001878A3" w:rsidRDefault="0086547E" w:rsidP="0086547E">
      <w:pPr>
        <w:pStyle w:val="Titre2"/>
        <w:rPr>
          <w:rFonts w:ascii="Avenir Next" w:hAnsi="Avenir Next"/>
          <w:color w:val="000000" w:themeColor="text1"/>
        </w:rPr>
      </w:pPr>
      <w:r w:rsidRPr="001878A3">
        <w:rPr>
          <w:rFonts w:ascii="Avenir Next" w:hAnsi="Avenir Next"/>
          <w:color w:val="000000" w:themeColor="text1"/>
        </w:rPr>
        <w:t>ΠΡΙΝ ΤΙΣ ΕΝΕΣΕΙΣ</w:t>
      </w:r>
    </w:p>
    <w:p w14:paraId="10A9D3E9"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Πραγματοποιείται αναλυτικό ιατρικό ιστορικό για τον εντοπισμό αντενδείξεων, όπως αλλεργίες, αυτοάνοσα νοσήματα, ενεργές λοιμώξεις (π.χ. έρπης), προηγούμενες ενέσεις ή επεμβάσεις.</w:t>
      </w:r>
    </w:p>
    <w:p w14:paraId="5E3338C1"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Αποφεύγεται η λήψη ασπιρίνης ή αντιφλεγμονωδών φαρμάκων για τρεις ημέρες πριν από την έγχυση.</w:t>
      </w:r>
    </w:p>
    <w:p w14:paraId="6E153D45"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Συνιστάται αποφυγή κατανάλωσης αλκοόλ και έντονης έκθεσης στον ήλιο την προηγουμένη και την ημέρα της συνεδρίας.</w:t>
      </w:r>
    </w:p>
    <w:p w14:paraId="3FDC7541" w14:textId="77777777" w:rsidR="0086547E" w:rsidRPr="001878A3" w:rsidRDefault="006E7D2F" w:rsidP="0086547E">
      <w:pPr>
        <w:rPr>
          <w:rFonts w:ascii="Avenir Next" w:hAnsi="Avenir Next"/>
          <w:color w:val="000000" w:themeColor="text1"/>
        </w:rPr>
      </w:pPr>
      <w:r>
        <w:pict w14:anchorId="4F06D361">
          <v:rect id="Horizontal Line 8" o:spid="_x0000_s1032"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78B1BC1" w14:textId="77777777" w:rsidR="0086547E" w:rsidRPr="001878A3" w:rsidRDefault="0086547E" w:rsidP="0086547E">
      <w:pPr>
        <w:pStyle w:val="Titre2"/>
        <w:rPr>
          <w:rFonts w:ascii="Avenir Next" w:hAnsi="Avenir Next"/>
          <w:color w:val="000000" w:themeColor="text1"/>
        </w:rPr>
      </w:pPr>
      <w:r w:rsidRPr="001878A3">
        <w:rPr>
          <w:rFonts w:ascii="Avenir Next" w:hAnsi="Avenir Next"/>
          <w:color w:val="000000" w:themeColor="text1"/>
        </w:rPr>
        <w:t>ΑΝΑΙΣΘΗΣΙΑ</w:t>
      </w:r>
    </w:p>
    <w:p w14:paraId="7EB4661E"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Οι περισσότερες ενέσεις πραγματοποιούνται χωρίς αναισθησία. Ωστόσο, σε ευαίσθητες περιοχές (π.χ. χείλη) ή σε ασθενείς με χαμηλό κατώφλι πόνου, μπορεί να εφαρμοστεί:</w:t>
      </w:r>
    </w:p>
    <w:p w14:paraId="69BE9724"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 xml:space="preserve">– Αναισθητική κρέμα (π.χ. </w:t>
      </w:r>
      <w:r w:rsidRPr="001878A3">
        <w:rPr>
          <w:rFonts w:ascii="Avenir Next" w:hAnsi="Avenir Next"/>
          <w:color w:val="000000" w:themeColor="text1"/>
        </w:rPr>
        <w:t>Emla</w:t>
      </w:r>
      <w:r w:rsidRPr="001878A3">
        <w:rPr>
          <w:rFonts w:ascii="Avenir Next" w:hAnsi="Avenir Next"/>
          <w:color w:val="000000" w:themeColor="text1"/>
          <w:lang w:val="el-GR"/>
        </w:rPr>
        <w:t>) μία ώρα πριν.</w:t>
      </w:r>
      <w:r w:rsidRPr="001878A3">
        <w:rPr>
          <w:rFonts w:ascii="Avenir Next" w:hAnsi="Avenir Next"/>
          <w:color w:val="000000" w:themeColor="text1"/>
          <w:lang w:val="el-GR"/>
        </w:rPr>
        <w:br/>
        <w:t>– Τοπική αναισθησία με ένεση.</w:t>
      </w:r>
    </w:p>
    <w:p w14:paraId="4FB91EDD" w14:textId="77777777" w:rsidR="0086547E" w:rsidRPr="001878A3" w:rsidRDefault="006E7D2F" w:rsidP="0086547E">
      <w:pPr>
        <w:rPr>
          <w:rFonts w:ascii="Avenir Next" w:hAnsi="Avenir Next"/>
          <w:color w:val="000000" w:themeColor="text1"/>
        </w:rPr>
      </w:pPr>
      <w:r>
        <w:pict w14:anchorId="78DCACA0">
          <v:rect id="Horizontal Line 9" o:spid="_x0000_s1031"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BE1D583" w14:textId="77777777" w:rsidR="0086547E" w:rsidRPr="001878A3" w:rsidRDefault="0086547E" w:rsidP="0086547E">
      <w:pPr>
        <w:pStyle w:val="Titre2"/>
        <w:rPr>
          <w:rFonts w:ascii="Avenir Next" w:hAnsi="Avenir Next"/>
          <w:color w:val="000000" w:themeColor="text1"/>
        </w:rPr>
      </w:pPr>
      <w:r w:rsidRPr="001878A3">
        <w:rPr>
          <w:rFonts w:ascii="Avenir Next" w:hAnsi="Avenir Next"/>
          <w:color w:val="000000" w:themeColor="text1"/>
        </w:rPr>
        <w:t>Η ΔΙΑΔΙΚΑΣΙΑ ΤΗΣ ΕΓΧΥΣΗΣ</w:t>
      </w:r>
    </w:p>
    <w:p w14:paraId="71C8B22B"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Η διάρκεια της συνεδρίας κυμαίνεται από 10 λεπτά έως 1 ώρα, ανάλογα με τον αριθμό των περιοχών.</w:t>
      </w:r>
    </w:p>
    <w:p w14:paraId="3B680293"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Χρησιμοποιούνται είτε λεπτές βελόνες είτε μικροκάνουλες (αμβλείς), που θεωρούνται λιγότερο τραυματικές για τους ιστούς.</w:t>
      </w:r>
    </w:p>
    <w:p w14:paraId="20378B0F" w14:textId="77777777" w:rsidR="0086547E" w:rsidRPr="001878A3" w:rsidRDefault="0086547E" w:rsidP="0086547E">
      <w:pPr>
        <w:pStyle w:val="NormalWeb"/>
        <w:rPr>
          <w:rFonts w:ascii="Avenir Next" w:hAnsi="Avenir Next"/>
          <w:color w:val="000000" w:themeColor="text1"/>
        </w:rPr>
      </w:pPr>
      <w:r w:rsidRPr="001878A3">
        <w:rPr>
          <w:rFonts w:ascii="Avenir Next" w:hAnsi="Avenir Next"/>
          <w:color w:val="000000" w:themeColor="text1"/>
          <w:lang w:val="el-GR"/>
        </w:rPr>
        <w:t xml:space="preserve">Η ποσότητα του προϊόντος καθορίζεται με ακρίβεια βάσει της ένδειξης. </w:t>
      </w:r>
      <w:r w:rsidRPr="001878A3">
        <w:rPr>
          <w:rFonts w:ascii="Avenir Next" w:hAnsi="Avenir Next"/>
          <w:color w:val="000000" w:themeColor="text1"/>
        </w:rPr>
        <w:t>Συχνά προβλέπεται συνεδρία επανελέγχου για βελτιστοποίηση του αποτελέσματος.</w:t>
      </w:r>
    </w:p>
    <w:p w14:paraId="0DDE8722" w14:textId="77777777" w:rsidR="0086547E" w:rsidRPr="001878A3" w:rsidRDefault="006E7D2F" w:rsidP="0086547E">
      <w:pPr>
        <w:rPr>
          <w:rFonts w:ascii="Avenir Next" w:hAnsi="Avenir Next"/>
          <w:color w:val="000000" w:themeColor="text1"/>
        </w:rPr>
      </w:pPr>
      <w:r>
        <w:pict w14:anchorId="44D2FAC6">
          <v:rect id="Horizontal Line 10" o:spid="_x0000_s1030"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CF2DE2C" w14:textId="77777777" w:rsidR="0086547E" w:rsidRPr="001878A3" w:rsidRDefault="0086547E" w:rsidP="0086547E">
      <w:pPr>
        <w:pStyle w:val="Titre2"/>
        <w:rPr>
          <w:rFonts w:ascii="Avenir Next" w:hAnsi="Avenir Next"/>
          <w:color w:val="000000" w:themeColor="text1"/>
        </w:rPr>
      </w:pPr>
      <w:r w:rsidRPr="001878A3">
        <w:rPr>
          <w:rFonts w:ascii="Avenir Next" w:hAnsi="Avenir Next"/>
          <w:color w:val="000000" w:themeColor="text1"/>
        </w:rPr>
        <w:t>ΜΕΤΑ ΤΙΣ ΕΝΕΣΕΙΣ</w:t>
      </w:r>
    </w:p>
    <w:p w14:paraId="7C420803"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Τις πρώτες ώρες συνιστάται ανάπαυση και αποφυγή έντονης δραστηριότητας.</w:t>
      </w:r>
    </w:p>
    <w:p w14:paraId="0C3A469E"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Πιθανές άμεσες αντιδράσεις περιλαμβάνουν:</w:t>
      </w:r>
    </w:p>
    <w:p w14:paraId="32B3C1B0"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 Οίδημα.</w:t>
      </w:r>
      <w:r w:rsidRPr="001878A3">
        <w:rPr>
          <w:rFonts w:ascii="Avenir Next" w:hAnsi="Avenir Next"/>
          <w:color w:val="000000" w:themeColor="text1"/>
          <w:lang w:val="el-GR"/>
        </w:rPr>
        <w:br/>
        <w:t>– Ερυθρότητα.</w:t>
      </w:r>
      <w:r w:rsidRPr="001878A3">
        <w:rPr>
          <w:rFonts w:ascii="Avenir Next" w:hAnsi="Avenir Next"/>
          <w:color w:val="000000" w:themeColor="text1"/>
          <w:lang w:val="el-GR"/>
        </w:rPr>
        <w:br/>
        <w:t>– Εκχυμώσεις.</w:t>
      </w:r>
      <w:r w:rsidRPr="001878A3">
        <w:rPr>
          <w:rFonts w:ascii="Avenir Next" w:hAnsi="Avenir Next"/>
          <w:color w:val="000000" w:themeColor="text1"/>
          <w:lang w:val="el-GR"/>
        </w:rPr>
        <w:br/>
        <w:t>– Ήπιες ασυμμετρίες.</w:t>
      </w:r>
    </w:p>
    <w:p w14:paraId="351A4FCF"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Στα χείλη, το οίδημα μπορεί να διαρκέσει έως και μία εβδομάδα.</w:t>
      </w:r>
    </w:p>
    <w:p w14:paraId="4D748DFE"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lastRenderedPageBreak/>
        <w:t>Συνιστάται αποφυγή αλκοόλ, ασπιρίνης, αντιφλεγμονωδών, έντονης ηλιοθεραπείας και σάουνας για λίγες ημέρες.</w:t>
      </w:r>
    </w:p>
    <w:p w14:paraId="0B78224B" w14:textId="77777777" w:rsidR="0086547E" w:rsidRPr="001878A3" w:rsidRDefault="006E7D2F" w:rsidP="0086547E">
      <w:pPr>
        <w:rPr>
          <w:rFonts w:ascii="Avenir Next" w:hAnsi="Avenir Next"/>
          <w:color w:val="000000" w:themeColor="text1"/>
        </w:rPr>
      </w:pPr>
      <w:r>
        <w:pict w14:anchorId="3A72483C">
          <v:rect id="Horizontal Line 11" o:spid="_x0000_s1029"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1AC842A2" w14:textId="77777777" w:rsidR="0086547E" w:rsidRPr="001878A3" w:rsidRDefault="0086547E" w:rsidP="0086547E">
      <w:pPr>
        <w:pStyle w:val="Titre2"/>
        <w:rPr>
          <w:rFonts w:ascii="Avenir Next" w:hAnsi="Avenir Next"/>
          <w:color w:val="000000" w:themeColor="text1"/>
        </w:rPr>
      </w:pPr>
      <w:r w:rsidRPr="001878A3">
        <w:rPr>
          <w:rFonts w:ascii="Avenir Next" w:hAnsi="Avenir Next"/>
          <w:color w:val="000000" w:themeColor="text1"/>
        </w:rPr>
        <w:t>ΑΠΟΤΕΛΕΣΜΑΤΑ</w:t>
      </w:r>
    </w:p>
    <w:p w14:paraId="0FB0FAD9"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Το αποτέλεσμα αρχίζει να διαμορφώνεται μέσα σε λίγες ημέρες και σταθεροποιείται σταδιακά. Ορισμένα προϊόντα (π.χ. πολυγαλακτικό οξύ) δρουν προοδευτικά διεγείροντας νεοκολλαγονογένεση.</w:t>
      </w:r>
    </w:p>
    <w:p w14:paraId="139420F0"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Η διάρκεια του αποτελέσματος είναι μεταβλητή και εξαρτάται από το προϊόν, την περιοχή, την τεχνική και τα ατομικά χαρακτηριστικά του ασθενούς. Στις περισσότερες περιπτώσεις η διόρθωση είναι προσωρινή και απαιτείται επανάληψη για διατήρηση.</w:t>
      </w:r>
    </w:p>
    <w:p w14:paraId="34C06351"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Στόχος είναι η βελτίωση και όχι η τελειότητα.</w:t>
      </w:r>
    </w:p>
    <w:p w14:paraId="53AEE2E1" w14:textId="77777777" w:rsidR="0086547E" w:rsidRPr="001878A3" w:rsidRDefault="006E7D2F" w:rsidP="0086547E">
      <w:pPr>
        <w:rPr>
          <w:rFonts w:ascii="Avenir Next" w:hAnsi="Avenir Next"/>
          <w:color w:val="000000" w:themeColor="text1"/>
        </w:rPr>
      </w:pPr>
      <w:r>
        <w:pict w14:anchorId="14CCD587">
          <v:rect id="Horizontal Line 12" o:spid="_x0000_s1028"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7742C460" w14:textId="77777777" w:rsidR="0086547E" w:rsidRPr="001878A3" w:rsidRDefault="0086547E" w:rsidP="0086547E">
      <w:pPr>
        <w:pStyle w:val="Titre2"/>
        <w:rPr>
          <w:rFonts w:ascii="Avenir Next" w:hAnsi="Avenir Next"/>
          <w:color w:val="000000" w:themeColor="text1"/>
        </w:rPr>
      </w:pPr>
      <w:r w:rsidRPr="001878A3">
        <w:rPr>
          <w:rFonts w:ascii="Avenir Next" w:hAnsi="Avenir Next"/>
          <w:color w:val="000000" w:themeColor="text1"/>
        </w:rPr>
        <w:t>ΠΙΘΑΝΕΣ ΑΝΕΠΙΘΥΜΗΤΕΣ ΕΝΕΡΓΕΙΕΣ</w:t>
      </w:r>
    </w:p>
    <w:p w14:paraId="577493A1"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Παρότι οι ενέσεις θεωρούνται ασφαλείς όταν πραγματοποιούνται από εξειδικευμένο ιατρό, ενδέχεται να εμφανιστούν:</w:t>
      </w:r>
    </w:p>
    <w:p w14:paraId="2E5071F6"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 Αλλεργικές αντιδράσεις (σπάνιες).</w:t>
      </w:r>
      <w:r w:rsidRPr="001878A3">
        <w:rPr>
          <w:rFonts w:ascii="Avenir Next" w:hAnsi="Avenir Next"/>
          <w:color w:val="000000" w:themeColor="text1"/>
          <w:lang w:val="el-GR"/>
        </w:rPr>
        <w:br/>
        <w:t>– Τοπικές φλεγμονώδεις αντιδράσεις.</w:t>
      </w:r>
      <w:r w:rsidRPr="001878A3">
        <w:rPr>
          <w:rFonts w:ascii="Avenir Next" w:hAnsi="Avenir Next"/>
          <w:color w:val="000000" w:themeColor="text1"/>
          <w:lang w:val="el-GR"/>
        </w:rPr>
        <w:br/>
        <w:t>– Έξαρση έρπητα.</w:t>
      </w:r>
      <w:r w:rsidRPr="001878A3">
        <w:rPr>
          <w:rFonts w:ascii="Avenir Next" w:hAnsi="Avenir Next"/>
          <w:color w:val="000000" w:themeColor="text1"/>
          <w:lang w:val="el-GR"/>
        </w:rPr>
        <w:br/>
        <w:t>– Κοκκιώματα ή οζίδια.</w:t>
      </w:r>
      <w:r w:rsidRPr="001878A3">
        <w:rPr>
          <w:rFonts w:ascii="Avenir Next" w:hAnsi="Avenir Next"/>
          <w:color w:val="000000" w:themeColor="text1"/>
          <w:lang w:val="el-GR"/>
        </w:rPr>
        <w:br/>
        <w:t>– Διαταραχές χρωματισμού.</w:t>
      </w:r>
      <w:r w:rsidRPr="001878A3">
        <w:rPr>
          <w:rFonts w:ascii="Avenir Next" w:hAnsi="Avenir Next"/>
          <w:color w:val="000000" w:themeColor="text1"/>
          <w:lang w:val="el-GR"/>
        </w:rPr>
        <w:br/>
        <w:t>– Σπανιότατα: αγγειακή απόφραξη που μπορεί να οδηγήσει σε νέκρωση δέρματος ή, εξαιρετικά σπάνια, σε τύφλωση μετά από ενδοαγγειακή έγχυση στην περιοφθαλμική περιοχή.</w:t>
      </w:r>
    </w:p>
    <w:p w14:paraId="5F30C87A"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Η επιλογή έμπειρου ιατρού μειώνει σημαντικά αυτούς τους κινδύνους.</w:t>
      </w:r>
    </w:p>
    <w:p w14:paraId="6D87CF8D" w14:textId="77777777" w:rsidR="0086547E" w:rsidRPr="001878A3" w:rsidRDefault="006E7D2F" w:rsidP="0086547E">
      <w:pPr>
        <w:rPr>
          <w:rFonts w:ascii="Avenir Next" w:hAnsi="Avenir Next"/>
          <w:color w:val="000000" w:themeColor="text1"/>
        </w:rPr>
      </w:pPr>
      <w:r>
        <w:pict w14:anchorId="4341F1A8">
          <v:rect id="Horizontal Line 13" o:spid="_x0000_s1027" alt="" style="width:6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0E324F42" w14:textId="77777777" w:rsidR="0086547E" w:rsidRPr="001878A3" w:rsidRDefault="0086547E" w:rsidP="0086547E">
      <w:pPr>
        <w:pStyle w:val="Titre2"/>
        <w:rPr>
          <w:rFonts w:ascii="Avenir Next" w:hAnsi="Avenir Next"/>
          <w:color w:val="000000" w:themeColor="text1"/>
        </w:rPr>
      </w:pPr>
      <w:r w:rsidRPr="001878A3">
        <w:rPr>
          <w:rFonts w:ascii="Avenir Next" w:hAnsi="Avenir Next"/>
          <w:color w:val="000000" w:themeColor="text1"/>
        </w:rPr>
        <w:lastRenderedPageBreak/>
        <w:t>ΣΥΜΠΕΡΑΣΜΑ</w:t>
      </w:r>
    </w:p>
    <w:p w14:paraId="3B175458"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Δεν πρέπει να υπερεκτιμώνται οι κίνδυνοι, αλλά κάθε ιατρική πράξη, ακόμη και μη χειρουργική, ενέχει μικρό ποσοστό αβεβαιότητας.</w:t>
      </w:r>
    </w:p>
    <w:p w14:paraId="090B84BF" w14:textId="77777777" w:rsidR="0086547E" w:rsidRPr="001878A3" w:rsidRDefault="0086547E" w:rsidP="0086547E">
      <w:pPr>
        <w:pStyle w:val="NormalWeb"/>
        <w:rPr>
          <w:rFonts w:ascii="Avenir Next" w:hAnsi="Avenir Next"/>
          <w:color w:val="000000" w:themeColor="text1"/>
          <w:lang w:val="el-GR"/>
        </w:rPr>
      </w:pPr>
      <w:r w:rsidRPr="001878A3">
        <w:rPr>
          <w:rFonts w:ascii="Avenir Next" w:hAnsi="Avenir Next"/>
          <w:color w:val="000000" w:themeColor="text1"/>
          <w:lang w:val="el-GR"/>
        </w:rPr>
        <w:t>Η επιλογή ειδικευμένου και εκπαιδευμένου ιατρού διασφαλίζει τη σωστή ένδειξη, την ασφαλή εφαρμογή και τη διαχείριση πιθανών επιπλοκών.</w:t>
      </w:r>
    </w:p>
    <w:p w14:paraId="0DB3DC82" w14:textId="7A09A0CA" w:rsidR="00C71B78" w:rsidRPr="001878A3" w:rsidRDefault="0086547E" w:rsidP="001878A3">
      <w:pPr>
        <w:pStyle w:val="NormalWeb"/>
        <w:rPr>
          <w:rFonts w:ascii="Avenir Next" w:hAnsi="Avenir Next"/>
          <w:color w:val="000000" w:themeColor="text1"/>
          <w:lang w:val="el-GR"/>
        </w:rPr>
      </w:pPr>
      <w:r w:rsidRPr="001878A3">
        <w:rPr>
          <w:rFonts w:ascii="Avenir Next" w:hAnsi="Avenir Next"/>
          <w:color w:val="000000" w:themeColor="text1"/>
          <w:lang w:val="el-GR"/>
        </w:rPr>
        <w:t>Συνιστάται να διατηρήσετε το παρόν έντυπο και να το επανεξετάσετε πριν από τη λήψη της τελικής σας απόφασης.</w:t>
      </w:r>
    </w:p>
    <w:p w14:paraId="6AF46CB5" w14:textId="77777777" w:rsidR="00C71B78" w:rsidRPr="001878A3" w:rsidRDefault="00C71B78" w:rsidP="00784E1B">
      <w:pPr>
        <w:rPr>
          <w:rFonts w:ascii="Avenir Next" w:hAnsi="Avenir Next"/>
          <w:color w:val="000000" w:themeColor="text1"/>
          <w:lang w:val="el-GR"/>
        </w:rPr>
      </w:pPr>
    </w:p>
    <w:p w14:paraId="1BC63E1E" w14:textId="77777777" w:rsidR="00C71B78" w:rsidRPr="001878A3" w:rsidRDefault="00C71B78" w:rsidP="00784E1B">
      <w:pPr>
        <w:rPr>
          <w:rFonts w:ascii="Avenir Next" w:hAnsi="Avenir Next"/>
          <w:color w:val="000000" w:themeColor="text1"/>
          <w:lang w:val="el-GR"/>
        </w:rPr>
      </w:pPr>
    </w:p>
    <w:p w14:paraId="5F52F0FC" w14:textId="602A1C94" w:rsidR="004941B0" w:rsidRPr="001878A3" w:rsidRDefault="006E7D2F" w:rsidP="00784E1B">
      <w:pPr>
        <w:rPr>
          <w:rFonts w:ascii="Avenir Next" w:hAnsi="Avenir Next"/>
          <w:color w:val="000000" w:themeColor="text1"/>
          <w:lang w:val="el-GR"/>
        </w:rPr>
      </w:pPr>
      <w:r>
        <w:pict w14:anchorId="2B63463B">
          <v:rect id="Horizontal Line 2" o:spid="_x0000_s1026" alt="" style="width:391.8pt;height:.05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20D37234" w14:textId="77777777" w:rsidR="004941B0" w:rsidRPr="001878A3"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1878A3">
        <w:rPr>
          <w:rFonts w:ascii="Avenir Next" w:hAnsi="Avenir Next" w:cs="Menlo"/>
          <w:i/>
          <w:iCs/>
          <w:color w:val="000000" w:themeColor="text1"/>
          <w:lang w:val="el-GR"/>
        </w:rPr>
        <w:t>Αυτά είναι τα στοιχεία πληροφόρησης που θέλαμε να προσφέρουμε ως συμπλήρωμα στη συμβουλευτική. Σας συνιστούμε να διατηρήσετε αυτό το έγγραφο, να το ξαναδιαβάσετε μετά τη συμβουλευτική και να το</w:t>
      </w:r>
    </w:p>
    <w:p w14:paraId="6F54A2F1" w14:textId="587867C5" w:rsidR="004941B0" w:rsidRPr="001878A3" w:rsidRDefault="004941B0" w:rsidP="004941B0">
      <w:pPr>
        <w:pBdr>
          <w:bar w:val="single" w:sz="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venir Next" w:hAnsi="Avenir Next" w:cs="Menlo"/>
          <w:i/>
          <w:iCs/>
          <w:color w:val="000000" w:themeColor="text1"/>
          <w:lang w:val="el-GR"/>
        </w:rPr>
      </w:pPr>
      <w:r w:rsidRPr="001878A3">
        <w:rPr>
          <w:rFonts w:ascii="Avenir Next" w:hAnsi="Avenir Next" w:cs="Menlo"/>
          <w:i/>
          <w:iCs/>
          <w:color w:val="000000" w:themeColor="text1"/>
          <w:lang w:val="el-GR"/>
        </w:rPr>
        <w:t>σκεφτείτε "με ηρεμία". Αυτή η σκέψη μπορεί να προκαλέσει νέες ερωτήσεις, για τις οποίες θα περιμένετε περαιτέρω πληροφορίες. Είμαστε στη διάθεσή σας για να συζητήσουμε περαιτέρω κατά τη διάρκεια μιας επόμενης συμβουλευτικής, ή ακόμα και τηλεφωνικά, ή ακόμα την ημέρα της επέμβασης, όπου θα ξανασυναντηθούμε πριν από την αναισθησία.</w:t>
      </w:r>
    </w:p>
    <w:p w14:paraId="1CFBECD1" w14:textId="77777777" w:rsidR="004941B0" w:rsidRPr="001878A3" w:rsidRDefault="004941B0" w:rsidP="004941B0">
      <w:pPr>
        <w:pBdr>
          <w:bar w:val="single" w:sz="4" w:color="auto"/>
        </w:pBdr>
        <w:autoSpaceDE w:val="0"/>
        <w:autoSpaceDN w:val="0"/>
        <w:adjustRightInd w:val="0"/>
        <w:spacing w:after="298" w:line="240" w:lineRule="auto"/>
        <w:jc w:val="both"/>
        <w:rPr>
          <w:rFonts w:ascii="Avenir Next" w:hAnsi="Avenir Next" w:cs="Menlo"/>
          <w:b/>
          <w:bCs/>
          <w:color w:val="000000" w:themeColor="text1"/>
          <w:sz w:val="36"/>
          <w:szCs w:val="36"/>
          <w:lang w:val="el-GR"/>
        </w:rPr>
      </w:pPr>
    </w:p>
    <w:p w14:paraId="07B8CBBF" w14:textId="77777777" w:rsidR="004941B0" w:rsidRPr="001878A3" w:rsidRDefault="004941B0" w:rsidP="004941B0">
      <w:pPr>
        <w:pBdr>
          <w:bar w:val="single" w:sz="4" w:color="auto"/>
        </w:pBdr>
        <w:autoSpaceDE w:val="0"/>
        <w:autoSpaceDN w:val="0"/>
        <w:adjustRightInd w:val="0"/>
        <w:spacing w:after="240" w:line="240" w:lineRule="auto"/>
        <w:rPr>
          <w:rFonts w:ascii="Avenir Next" w:hAnsi="Avenir Next" w:cs="Menlo"/>
          <w:color w:val="000000" w:themeColor="text1"/>
          <w:lang w:val="el-GR"/>
        </w:rPr>
      </w:pPr>
      <w:r w:rsidRPr="001878A3">
        <w:rPr>
          <w:rFonts w:ascii="Avenir Next" w:hAnsi="Avenir Next" w:cs="Menlo"/>
          <w:b/>
          <w:bCs/>
          <w:color w:val="000000" w:themeColor="text1"/>
          <w:lang w:val="el-GR"/>
        </w:rPr>
        <w:t>ΠΡΟΣΩΠΙΚΕΣ ΠΑΡΑΤΗΡΗΣΕΙΣ:</w:t>
      </w:r>
    </w:p>
    <w:p w14:paraId="582865BA" w14:textId="26385D4C" w:rsidR="004941B0" w:rsidRPr="001878A3" w:rsidRDefault="00784E1B" w:rsidP="004941B0">
      <w:pPr>
        <w:rPr>
          <w:rFonts w:ascii="Avenir Next" w:hAnsi="Avenir Next"/>
          <w:color w:val="000000" w:themeColor="text1"/>
          <w:lang w:val="el-GR"/>
        </w:rPr>
      </w:pPr>
      <w:r w:rsidRPr="001878A3">
        <w:rPr>
          <w:rFonts w:ascii="Avenir Next" w:hAnsi="Avenir Next" w:cs="Menlo"/>
          <w:color w:val="000000" w:themeColor="text1"/>
          <w:lang w:val="el-GR"/>
        </w:rPr>
        <w:t>——————————————————————————————————————————————————————————————————————————————————————————————————————————————————————————————————</w:t>
      </w:r>
      <w:r w:rsidR="001878A3" w:rsidRPr="001878A3">
        <w:rPr>
          <w:rFonts w:ascii="Avenir Next" w:hAnsi="Avenir Next" w:cs="Menlo"/>
          <w:color w:val="000000" w:themeColor="text1"/>
          <w:lang w:val="el-GR"/>
        </w:rPr>
        <w:t>———————————————————————————————————————————————————————————————————————————————————————————————————————————————————————————————————————————————————————————————————————————————————————————————————————————————————————————————————————————————————————————————————————————————————————————————————————————————————————————————————————————————————————————————————————————————————————————————————————————————————————————————————————————————————————————————————————</w:t>
      </w:r>
    </w:p>
    <w:sectPr w:rsidR="004941B0" w:rsidRPr="001878A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 w:name="Avenir Next">
    <w:panose1 w:val="020B0503020202020204"/>
    <w:charset w:val="00"/>
    <w:family w:val="swiss"/>
    <w:pitch w:val="variable"/>
    <w:sig w:usb0="8000002F" w:usb1="5000204A" w:usb2="00000000" w:usb3="00000000" w:csb0="0000009B"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8863D41"/>
    <w:multiLevelType w:val="multilevel"/>
    <w:tmpl w:val="50E8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201F9C"/>
    <w:multiLevelType w:val="multilevel"/>
    <w:tmpl w:val="B490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F006F"/>
    <w:multiLevelType w:val="multilevel"/>
    <w:tmpl w:val="85AE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6E5D31"/>
    <w:multiLevelType w:val="multilevel"/>
    <w:tmpl w:val="E8328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3D1D31"/>
    <w:multiLevelType w:val="multilevel"/>
    <w:tmpl w:val="2B7C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C1327F"/>
    <w:multiLevelType w:val="multilevel"/>
    <w:tmpl w:val="DB7C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7F29DD"/>
    <w:multiLevelType w:val="multilevel"/>
    <w:tmpl w:val="5B3A4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406932"/>
    <w:multiLevelType w:val="multilevel"/>
    <w:tmpl w:val="04CA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021C59"/>
    <w:multiLevelType w:val="multilevel"/>
    <w:tmpl w:val="63F8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B14BCB"/>
    <w:multiLevelType w:val="multilevel"/>
    <w:tmpl w:val="DB24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3B6A29"/>
    <w:multiLevelType w:val="multilevel"/>
    <w:tmpl w:val="F1E8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6622B4"/>
    <w:multiLevelType w:val="multilevel"/>
    <w:tmpl w:val="29A6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6A1B46"/>
    <w:multiLevelType w:val="multilevel"/>
    <w:tmpl w:val="090E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55561B"/>
    <w:multiLevelType w:val="multilevel"/>
    <w:tmpl w:val="2CC61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035BE7"/>
    <w:multiLevelType w:val="multilevel"/>
    <w:tmpl w:val="F35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273E90"/>
    <w:multiLevelType w:val="multilevel"/>
    <w:tmpl w:val="D1AE8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3B37C1"/>
    <w:multiLevelType w:val="multilevel"/>
    <w:tmpl w:val="4340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392FD6"/>
    <w:multiLevelType w:val="multilevel"/>
    <w:tmpl w:val="AF64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3B1F91"/>
    <w:multiLevelType w:val="multilevel"/>
    <w:tmpl w:val="8C2C1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EF1C6F"/>
    <w:multiLevelType w:val="multilevel"/>
    <w:tmpl w:val="E9A8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AF4663"/>
    <w:multiLevelType w:val="multilevel"/>
    <w:tmpl w:val="EB825C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DE56D7"/>
    <w:multiLevelType w:val="multilevel"/>
    <w:tmpl w:val="9244B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312C31"/>
    <w:multiLevelType w:val="multilevel"/>
    <w:tmpl w:val="1FF4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C71C1D"/>
    <w:multiLevelType w:val="multilevel"/>
    <w:tmpl w:val="60AAF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4270197">
    <w:abstractNumId w:val="8"/>
  </w:num>
  <w:num w:numId="2" w16cid:durableId="1165433305">
    <w:abstractNumId w:val="6"/>
  </w:num>
  <w:num w:numId="3" w16cid:durableId="509948936">
    <w:abstractNumId w:val="5"/>
  </w:num>
  <w:num w:numId="4" w16cid:durableId="1724404431">
    <w:abstractNumId w:val="4"/>
  </w:num>
  <w:num w:numId="5" w16cid:durableId="1365062516">
    <w:abstractNumId w:val="7"/>
  </w:num>
  <w:num w:numId="6" w16cid:durableId="1985698499">
    <w:abstractNumId w:val="3"/>
  </w:num>
  <w:num w:numId="7" w16cid:durableId="723601099">
    <w:abstractNumId w:val="2"/>
  </w:num>
  <w:num w:numId="8" w16cid:durableId="696658376">
    <w:abstractNumId w:val="1"/>
  </w:num>
  <w:num w:numId="9" w16cid:durableId="422654475">
    <w:abstractNumId w:val="0"/>
  </w:num>
  <w:num w:numId="10" w16cid:durableId="723479868">
    <w:abstractNumId w:val="23"/>
  </w:num>
  <w:num w:numId="11" w16cid:durableId="1894003908">
    <w:abstractNumId w:val="25"/>
  </w:num>
  <w:num w:numId="12" w16cid:durableId="1426151215">
    <w:abstractNumId w:val="10"/>
  </w:num>
  <w:num w:numId="13" w16cid:durableId="1995715767">
    <w:abstractNumId w:val="26"/>
  </w:num>
  <w:num w:numId="14" w16cid:durableId="2096197095">
    <w:abstractNumId w:val="12"/>
  </w:num>
  <w:num w:numId="15" w16cid:durableId="2112894837">
    <w:abstractNumId w:val="32"/>
  </w:num>
  <w:num w:numId="16" w16cid:durableId="1112477393">
    <w:abstractNumId w:val="15"/>
  </w:num>
  <w:num w:numId="17" w16cid:durableId="1200625083">
    <w:abstractNumId w:val="9"/>
  </w:num>
  <w:num w:numId="18" w16cid:durableId="89356135">
    <w:abstractNumId w:val="19"/>
  </w:num>
  <w:num w:numId="19" w16cid:durableId="2060548734">
    <w:abstractNumId w:val="30"/>
  </w:num>
  <w:num w:numId="20" w16cid:durableId="1904288838">
    <w:abstractNumId w:val="31"/>
  </w:num>
  <w:num w:numId="21" w16cid:durableId="350030117">
    <w:abstractNumId w:val="20"/>
  </w:num>
  <w:num w:numId="22" w16cid:durableId="1661887430">
    <w:abstractNumId w:val="11"/>
  </w:num>
  <w:num w:numId="23" w16cid:durableId="588542317">
    <w:abstractNumId w:val="24"/>
  </w:num>
  <w:num w:numId="24" w16cid:durableId="1843810044">
    <w:abstractNumId w:val="16"/>
  </w:num>
  <w:num w:numId="25" w16cid:durableId="870191319">
    <w:abstractNumId w:val="22"/>
  </w:num>
  <w:num w:numId="26" w16cid:durableId="1337152836">
    <w:abstractNumId w:val="17"/>
  </w:num>
  <w:num w:numId="27" w16cid:durableId="302468836">
    <w:abstractNumId w:val="21"/>
  </w:num>
  <w:num w:numId="28" w16cid:durableId="1933273237">
    <w:abstractNumId w:val="18"/>
  </w:num>
  <w:num w:numId="29" w16cid:durableId="1241865625">
    <w:abstractNumId w:val="27"/>
  </w:num>
  <w:num w:numId="30" w16cid:durableId="1522282613">
    <w:abstractNumId w:val="28"/>
  </w:num>
  <w:num w:numId="31" w16cid:durableId="244268236">
    <w:abstractNumId w:val="14"/>
  </w:num>
  <w:num w:numId="32" w16cid:durableId="1499809460">
    <w:abstractNumId w:val="29"/>
  </w:num>
  <w:num w:numId="33" w16cid:durableId="13383853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0516"/>
    <w:rsid w:val="00107FF7"/>
    <w:rsid w:val="0015074B"/>
    <w:rsid w:val="001878A3"/>
    <w:rsid w:val="0029639D"/>
    <w:rsid w:val="00326F90"/>
    <w:rsid w:val="004941B0"/>
    <w:rsid w:val="004C0952"/>
    <w:rsid w:val="004E0449"/>
    <w:rsid w:val="00574AA3"/>
    <w:rsid w:val="006349FC"/>
    <w:rsid w:val="006B0B1D"/>
    <w:rsid w:val="006E7D2F"/>
    <w:rsid w:val="00784E1B"/>
    <w:rsid w:val="00857871"/>
    <w:rsid w:val="0086547E"/>
    <w:rsid w:val="008F27A8"/>
    <w:rsid w:val="0090265F"/>
    <w:rsid w:val="00AA1D8D"/>
    <w:rsid w:val="00B47730"/>
    <w:rsid w:val="00B724E7"/>
    <w:rsid w:val="00BC42F5"/>
    <w:rsid w:val="00C71B7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7"/>
    <o:shapelayout v:ext="edit">
      <o:idmap v:ext="edit" data="1"/>
    </o:shapelayout>
  </w:shapeDefaults>
  <w:decimalSymbol w:val=","/>
  <w:listSeparator w:val=";"/>
  <w14:docId w14:val="660AC58E"/>
  <w14:defaultImageDpi w14:val="300"/>
  <w15:docId w15:val="{EBB265EA-1295-CB4F-A1A3-B1D081C16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784E1B"/>
    <w:pPr>
      <w:spacing w:before="100" w:beforeAutospacing="1" w:after="100" w:afterAutospacing="1" w:line="240" w:lineRule="auto"/>
    </w:pPr>
    <w:rPr>
      <w:rFonts w:ascii="Times New Roman" w:eastAsia="Times New Roman"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1215</Words>
  <Characters>6687</Characters>
  <Application>Microsoft Office Word</Application>
  <DocSecurity>0</DocSecurity>
  <Lines>55</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Office</cp:lastModifiedBy>
  <cp:revision>3</cp:revision>
  <dcterms:created xsi:type="dcterms:W3CDTF">2026-02-14T11:22:00Z</dcterms:created>
  <dcterms:modified xsi:type="dcterms:W3CDTF">2026-02-14T20:03:00Z</dcterms:modified>
  <cp:category/>
</cp:coreProperties>
</file>